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65EA73" w14:textId="77777777" w:rsidR="00DD2B9D" w:rsidRDefault="00DD2B9D" w:rsidP="00AE6DC1">
      <w:pPr>
        <w:jc w:val="center"/>
        <w:rPr>
          <w:rFonts w:eastAsiaTheme="minorEastAsia"/>
        </w:rPr>
      </w:pPr>
    </w:p>
    <w:p w14:paraId="4121F6CB" w14:textId="605BAF6E" w:rsidR="00AE6DC1" w:rsidRPr="00C06789" w:rsidRDefault="00AE6DC1" w:rsidP="00AE6DC1">
      <w:pPr>
        <w:jc w:val="center"/>
        <w:rPr>
          <w:rFonts w:eastAsiaTheme="minorEastAsia"/>
        </w:rPr>
      </w:pPr>
      <w:r w:rsidRPr="00C06789">
        <w:rPr>
          <w:noProof/>
        </w:rPr>
        <w:drawing>
          <wp:inline distT="0" distB="0" distL="0" distR="0" wp14:anchorId="6998ACA6" wp14:editId="2E874C2E">
            <wp:extent cx="1521444" cy="1169610"/>
            <wp:effectExtent l="0" t="0" r="0" b="0"/>
            <wp:docPr id="1381089392" name="Imagen 1381089392" descr="Imagen que contiene reloj&#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089392" name="Imagen 1381089392" descr="Imagen que contiene reloj&#10;&#10;Descripción generada automáticament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21444" cy="1169610"/>
                    </a:xfrm>
                    <a:prstGeom prst="rect">
                      <a:avLst/>
                    </a:prstGeom>
                  </pic:spPr>
                </pic:pic>
              </a:graphicData>
            </a:graphic>
          </wp:inline>
        </w:drawing>
      </w:r>
    </w:p>
    <w:p w14:paraId="4F059007" w14:textId="77777777" w:rsidR="00AE6DC1" w:rsidRPr="00C06789" w:rsidRDefault="00AE6DC1" w:rsidP="00AE6DC1">
      <w:pPr>
        <w:jc w:val="center"/>
        <w:rPr>
          <w:rFonts w:eastAsiaTheme="minorEastAsia"/>
          <w:color w:val="1F1F1F"/>
          <w:sz w:val="33"/>
          <w:szCs w:val="33"/>
        </w:rPr>
      </w:pPr>
    </w:p>
    <w:p w14:paraId="237344EC" w14:textId="77777777" w:rsidR="00AE6DC1" w:rsidRPr="00C06789" w:rsidRDefault="00AE6DC1" w:rsidP="00AE6DC1">
      <w:pPr>
        <w:jc w:val="center"/>
        <w:rPr>
          <w:rFonts w:eastAsiaTheme="minorEastAsia"/>
          <w:b/>
          <w:bCs/>
          <w:color w:val="1F1F1F"/>
          <w:sz w:val="33"/>
          <w:szCs w:val="33"/>
        </w:rPr>
      </w:pPr>
      <w:r w:rsidRPr="00C06789">
        <w:rPr>
          <w:rFonts w:eastAsiaTheme="minorEastAsia"/>
          <w:b/>
          <w:bCs/>
          <w:color w:val="1F1F1F"/>
          <w:sz w:val="33"/>
          <w:szCs w:val="33"/>
        </w:rPr>
        <w:t>Aumento del valor del bosque natural secundario mediante su uso sostenible, generando empleo rural, en un contexto post COVID</w:t>
      </w:r>
    </w:p>
    <w:p w14:paraId="1827C630" w14:textId="77777777" w:rsidR="00AE6DC1" w:rsidRPr="00C06789" w:rsidRDefault="00AE6DC1" w:rsidP="00AE6DC1">
      <w:pPr>
        <w:jc w:val="center"/>
        <w:rPr>
          <w:rFonts w:eastAsiaTheme="minorEastAsia"/>
          <w:color w:val="1F1F1F"/>
          <w:sz w:val="33"/>
          <w:szCs w:val="33"/>
        </w:rPr>
      </w:pPr>
    </w:p>
    <w:p w14:paraId="48EAD89C" w14:textId="6F3F0157" w:rsidR="00AE6DC1" w:rsidRPr="00C06789" w:rsidRDefault="00AE6DC1" w:rsidP="00AE6DC1">
      <w:pPr>
        <w:jc w:val="center"/>
        <w:rPr>
          <w:rFonts w:eastAsiaTheme="minorEastAsia"/>
          <w:color w:val="1F1F1F"/>
          <w:sz w:val="33"/>
          <w:szCs w:val="33"/>
        </w:rPr>
      </w:pPr>
      <w:r w:rsidRPr="00C06789">
        <w:rPr>
          <w:rFonts w:eastAsiaTheme="minorEastAsia"/>
          <w:color w:val="1F1F1F"/>
          <w:sz w:val="33"/>
          <w:szCs w:val="33"/>
        </w:rPr>
        <w:t xml:space="preserve">Avance Técnico </w:t>
      </w:r>
      <w:r>
        <w:rPr>
          <w:rFonts w:eastAsiaTheme="minorEastAsia"/>
          <w:color w:val="1F1F1F"/>
          <w:sz w:val="33"/>
          <w:szCs w:val="33"/>
        </w:rPr>
        <w:t>4</w:t>
      </w:r>
    </w:p>
    <w:p w14:paraId="7484A2D9" w14:textId="378F34A0" w:rsidR="00AE6DC1" w:rsidRPr="00C06789" w:rsidRDefault="00AE6DC1" w:rsidP="00AE6DC1">
      <w:pPr>
        <w:jc w:val="center"/>
        <w:rPr>
          <w:rFonts w:eastAsiaTheme="minorEastAsia"/>
          <w:color w:val="1F1F1F"/>
          <w:sz w:val="33"/>
          <w:szCs w:val="33"/>
        </w:rPr>
      </w:pPr>
      <w:r w:rsidRPr="00C06789">
        <w:rPr>
          <w:rFonts w:eastAsiaTheme="minorEastAsia"/>
          <w:color w:val="1F1F1F"/>
          <w:sz w:val="33"/>
          <w:szCs w:val="33"/>
        </w:rPr>
        <w:t>“</w:t>
      </w:r>
      <w:r w:rsidRPr="00AE6DC1">
        <w:rPr>
          <w:rFonts w:eastAsiaTheme="minorEastAsia"/>
          <w:color w:val="1F1F1F"/>
          <w:sz w:val="33"/>
          <w:szCs w:val="33"/>
        </w:rPr>
        <w:t>Lineamientos para la formulación de una estrategia de mercadeo</w:t>
      </w:r>
      <w:r w:rsidRPr="00C06789">
        <w:rPr>
          <w:rFonts w:eastAsiaTheme="minorEastAsia"/>
          <w:color w:val="1F1F1F"/>
          <w:sz w:val="33"/>
          <w:szCs w:val="33"/>
        </w:rPr>
        <w:t>”</w:t>
      </w:r>
    </w:p>
    <w:p w14:paraId="1F68584B" w14:textId="77777777" w:rsidR="00AE6DC1" w:rsidRPr="00C06789" w:rsidRDefault="00AE6DC1" w:rsidP="00AE6DC1">
      <w:pPr>
        <w:jc w:val="center"/>
        <w:rPr>
          <w:rFonts w:eastAsiaTheme="minorEastAsia"/>
          <w:color w:val="1F1F1F"/>
          <w:sz w:val="33"/>
          <w:szCs w:val="33"/>
        </w:rPr>
      </w:pPr>
    </w:p>
    <w:p w14:paraId="010FF9A9" w14:textId="77777777" w:rsidR="00AE6DC1" w:rsidRPr="00C06789" w:rsidRDefault="00AE6DC1" w:rsidP="00AE6DC1">
      <w:pPr>
        <w:jc w:val="center"/>
        <w:rPr>
          <w:rFonts w:eastAsiaTheme="minorEastAsia"/>
          <w:color w:val="1F1F1F"/>
          <w:sz w:val="28"/>
          <w:szCs w:val="28"/>
        </w:rPr>
      </w:pPr>
      <w:r w:rsidRPr="00C06789">
        <w:rPr>
          <w:rFonts w:eastAsiaTheme="minorEastAsia"/>
          <w:color w:val="1F1F1F"/>
          <w:sz w:val="28"/>
          <w:szCs w:val="28"/>
        </w:rPr>
        <w:t>Preparado por:</w:t>
      </w:r>
    </w:p>
    <w:p w14:paraId="5CE975A6" w14:textId="77777777" w:rsidR="00AE6DC1" w:rsidRPr="00C06789" w:rsidRDefault="00AE6DC1" w:rsidP="00AE6DC1">
      <w:pPr>
        <w:jc w:val="center"/>
        <w:rPr>
          <w:rFonts w:eastAsiaTheme="minorEastAsia"/>
          <w:color w:val="1F1F1F"/>
          <w:sz w:val="24"/>
          <w:szCs w:val="24"/>
        </w:rPr>
      </w:pPr>
      <w:r w:rsidRPr="00C06789">
        <w:rPr>
          <w:rFonts w:eastAsiaTheme="minorEastAsia"/>
          <w:color w:val="1F1F1F"/>
          <w:sz w:val="28"/>
          <w:szCs w:val="28"/>
        </w:rPr>
        <w:t>Asociación Cámara Forestal Madera e Industria de Costa Rica</w:t>
      </w:r>
    </w:p>
    <w:p w14:paraId="0353566C" w14:textId="77777777" w:rsidR="00AE6DC1" w:rsidRPr="00C06789" w:rsidRDefault="00AE6DC1" w:rsidP="00AE6DC1">
      <w:pPr>
        <w:jc w:val="center"/>
        <w:rPr>
          <w:rFonts w:eastAsiaTheme="minorEastAsia"/>
          <w:color w:val="1F1F1F"/>
          <w:sz w:val="24"/>
          <w:szCs w:val="24"/>
        </w:rPr>
      </w:pPr>
      <w:r w:rsidRPr="00C06789">
        <w:rPr>
          <w:rFonts w:eastAsiaTheme="minorEastAsia"/>
          <w:color w:val="1F1F1F"/>
          <w:sz w:val="28"/>
          <w:szCs w:val="28"/>
        </w:rPr>
        <w:t>Carbon Renueve Service – CRS</w:t>
      </w:r>
    </w:p>
    <w:p w14:paraId="2F272881" w14:textId="77777777" w:rsidR="00AE6DC1" w:rsidRPr="00C06789" w:rsidRDefault="00AE6DC1" w:rsidP="00AE6DC1">
      <w:pPr>
        <w:jc w:val="center"/>
        <w:rPr>
          <w:rFonts w:asciiTheme="minorHAnsi" w:hAnsiTheme="minorHAnsi" w:cstheme="minorHAnsi"/>
        </w:rPr>
      </w:pPr>
    </w:p>
    <w:p w14:paraId="0C49AA58" w14:textId="77777777" w:rsidR="00AE6DC1" w:rsidRPr="00C06789" w:rsidRDefault="00AE6DC1" w:rsidP="00AE6DC1">
      <w:pPr>
        <w:rPr>
          <w:rFonts w:asciiTheme="minorHAnsi" w:hAnsiTheme="minorHAnsi" w:cstheme="minorHAnsi"/>
        </w:rPr>
      </w:pPr>
    </w:p>
    <w:p w14:paraId="0118B569" w14:textId="77777777" w:rsidR="00AE6DC1" w:rsidRPr="00C06789" w:rsidRDefault="00AE6DC1" w:rsidP="00AE6DC1">
      <w:pPr>
        <w:rPr>
          <w:rFonts w:asciiTheme="minorHAnsi" w:hAnsiTheme="minorHAnsi" w:cstheme="minorHAnsi"/>
        </w:rPr>
      </w:pPr>
    </w:p>
    <w:p w14:paraId="2BF41C8B" w14:textId="77777777" w:rsidR="00AE6DC1" w:rsidRPr="00C06789" w:rsidRDefault="00AE6DC1" w:rsidP="00AE6DC1">
      <w:pPr>
        <w:rPr>
          <w:rFonts w:asciiTheme="minorHAnsi" w:hAnsiTheme="minorHAnsi" w:cstheme="minorHAnsi"/>
        </w:rPr>
      </w:pPr>
    </w:p>
    <w:p w14:paraId="4EF7B818" w14:textId="77777777" w:rsidR="00AE6DC1" w:rsidRPr="00C06789" w:rsidRDefault="00AE6DC1" w:rsidP="00AE6DC1">
      <w:pPr>
        <w:rPr>
          <w:rFonts w:asciiTheme="minorHAnsi" w:hAnsiTheme="minorHAnsi" w:cstheme="minorHAnsi"/>
        </w:rPr>
      </w:pPr>
    </w:p>
    <w:p w14:paraId="105E4D85" w14:textId="77777777" w:rsidR="00AE6DC1" w:rsidRPr="00C06789" w:rsidRDefault="00AE6DC1" w:rsidP="00AE6DC1">
      <w:pPr>
        <w:rPr>
          <w:rFonts w:asciiTheme="minorHAnsi" w:hAnsiTheme="minorHAnsi" w:cstheme="minorHAnsi"/>
        </w:rPr>
      </w:pPr>
    </w:p>
    <w:p w14:paraId="0CD0AC8E" w14:textId="77777777" w:rsidR="00AE6DC1" w:rsidRPr="00C06789" w:rsidRDefault="00AE6DC1" w:rsidP="00AE6DC1">
      <w:pPr>
        <w:rPr>
          <w:rFonts w:asciiTheme="minorHAnsi" w:hAnsiTheme="minorHAnsi" w:cstheme="minorHAnsi"/>
        </w:rPr>
      </w:pPr>
    </w:p>
    <w:p w14:paraId="3C7870C5" w14:textId="77777777" w:rsidR="00AE6DC1" w:rsidRPr="00C06789" w:rsidRDefault="00AE6DC1" w:rsidP="00AE6DC1">
      <w:pPr>
        <w:rPr>
          <w:rFonts w:asciiTheme="minorHAnsi" w:hAnsiTheme="minorHAnsi" w:cstheme="minorHAnsi"/>
        </w:rPr>
      </w:pPr>
    </w:p>
    <w:p w14:paraId="738AFD58" w14:textId="77777777" w:rsidR="00AE6DC1" w:rsidRDefault="00AE6DC1" w:rsidP="00AE6DC1">
      <w:pPr>
        <w:rPr>
          <w:rFonts w:asciiTheme="minorHAnsi" w:hAnsiTheme="minorHAnsi" w:cstheme="minorHAnsi"/>
        </w:rPr>
      </w:pPr>
    </w:p>
    <w:p w14:paraId="275DE334" w14:textId="77777777" w:rsidR="00826503" w:rsidRDefault="00826503" w:rsidP="00AE6DC1">
      <w:pPr>
        <w:rPr>
          <w:rFonts w:asciiTheme="minorHAnsi" w:hAnsiTheme="minorHAnsi" w:cstheme="minorHAnsi"/>
        </w:rPr>
      </w:pPr>
    </w:p>
    <w:p w14:paraId="14DF0E2F" w14:textId="77777777" w:rsidR="00826503" w:rsidRPr="00C06789" w:rsidRDefault="00826503" w:rsidP="00AE6DC1">
      <w:pPr>
        <w:rPr>
          <w:rFonts w:asciiTheme="minorHAnsi" w:hAnsiTheme="minorHAnsi" w:cstheme="minorHAnsi"/>
        </w:rPr>
      </w:pPr>
    </w:p>
    <w:p w14:paraId="79EA6490" w14:textId="77777777" w:rsidR="00AE6DC1" w:rsidRPr="00C06789" w:rsidRDefault="358CB08A" w:rsidP="358CB08A">
      <w:pPr>
        <w:rPr>
          <w:rFonts w:asciiTheme="minorHAnsi" w:hAnsiTheme="minorHAnsi" w:cstheme="minorBidi"/>
        </w:rPr>
      </w:pPr>
      <w:r w:rsidRPr="358CB08A">
        <w:rPr>
          <w:rFonts w:asciiTheme="minorHAnsi" w:hAnsiTheme="minorHAnsi" w:cstheme="minorBidi"/>
        </w:rPr>
        <w:lastRenderedPageBreak/>
        <w:t>Entidad colaboradora: Carbon Revenue Services (CRS)</w:t>
      </w:r>
    </w:p>
    <w:p w14:paraId="3020EC0A" w14:textId="77777777" w:rsidR="00AE6DC1" w:rsidRPr="00C06789" w:rsidRDefault="358CB08A" w:rsidP="358CB08A">
      <w:pPr>
        <w:rPr>
          <w:rFonts w:asciiTheme="minorHAnsi" w:hAnsiTheme="minorHAnsi" w:cstheme="minorBidi"/>
        </w:rPr>
      </w:pPr>
      <w:r w:rsidRPr="358CB08A">
        <w:rPr>
          <w:rFonts w:asciiTheme="minorHAnsi" w:hAnsiTheme="minorHAnsi" w:cstheme="minorBidi"/>
        </w:rPr>
        <w:t>Institución responsable: Ministerio de Ambiente y Energía (MINAE), San José, Costa Rica</w:t>
      </w:r>
    </w:p>
    <w:p w14:paraId="7A0BFBB1" w14:textId="35FFEC80" w:rsidR="00AE6DC1" w:rsidRPr="00C06789" w:rsidRDefault="358CB08A" w:rsidP="358CB08A">
      <w:pPr>
        <w:rPr>
          <w:rFonts w:asciiTheme="minorHAnsi" w:hAnsiTheme="minorHAnsi" w:cstheme="minorBidi"/>
        </w:rPr>
      </w:pPr>
      <w:r w:rsidRPr="358CB08A">
        <w:rPr>
          <w:rFonts w:asciiTheme="minorHAnsi" w:hAnsiTheme="minorHAnsi" w:cstheme="minorBidi"/>
        </w:rPr>
        <w:t>Lugar y fecha de expedición del informe: San José, febrero del 2024</w:t>
      </w:r>
    </w:p>
    <w:p w14:paraId="38C3C11E" w14:textId="76734CCC" w:rsidR="00AE6DC1" w:rsidRPr="00C06789" w:rsidRDefault="358CB08A" w:rsidP="358CB08A">
      <w:pPr>
        <w:jc w:val="both"/>
        <w:rPr>
          <w:rFonts w:asciiTheme="minorHAnsi" w:hAnsiTheme="minorHAnsi" w:cstheme="minorBidi"/>
        </w:rPr>
      </w:pPr>
      <w:r w:rsidRPr="358CB08A">
        <w:rPr>
          <w:rFonts w:asciiTheme="minorHAnsi" w:hAnsiTheme="minorHAnsi" w:cstheme="minorBidi"/>
        </w:rPr>
        <w:t>El contenido de este documento está protegido por derechos de autor. La OIMT ofrece libre acceso a estos productos de información y alienta el uso, la reproducción y la difusión de los textos, materiales multimedia y datos presentados en su sitio web. La utilización, reproducción o difusión de este producto puede estar sujeta a restricciones que se especifican para dichos productos. Salvo que se indique lo contrario, todo el contenido de la OIMT protegido por derechos de autor se puede copiar, imprimir y descargar con fines de estudio, investigación y docencia, y para su uso en productos o servicios no comerciales, siempre que se cite debidamente a la OIMT y la CFMI como fuente y titular de los derechos de autor y que no se indique ni implique de modo alguno que la OIMT aprueba las opiniones, productos o servicios de los usuarios.</w:t>
      </w:r>
    </w:p>
    <w:p w14:paraId="48D473A4" w14:textId="77777777" w:rsidR="00AE6DC1" w:rsidRPr="00C06789" w:rsidRDefault="00AE6DC1" w:rsidP="00AE6DC1">
      <w:pPr>
        <w:rPr>
          <w:rFonts w:asciiTheme="minorHAnsi" w:hAnsiTheme="minorHAnsi" w:cstheme="minorHAnsi"/>
        </w:rPr>
      </w:pPr>
    </w:p>
    <w:p w14:paraId="196528F5" w14:textId="77777777" w:rsidR="00AE6DC1" w:rsidRPr="00C06789" w:rsidRDefault="00AE6DC1" w:rsidP="00AE6DC1">
      <w:pPr>
        <w:spacing w:after="200" w:line="288" w:lineRule="auto"/>
        <w:rPr>
          <w:rFonts w:asciiTheme="minorHAnsi" w:hAnsiTheme="minorHAnsi" w:cstheme="minorHAnsi"/>
        </w:rPr>
      </w:pPr>
      <w:r w:rsidRPr="00C06789">
        <w:rPr>
          <w:rFonts w:asciiTheme="minorHAnsi" w:hAnsiTheme="minorHAnsi" w:cstheme="minorHAnsi"/>
        </w:rPr>
        <w:br w:type="page"/>
      </w:r>
    </w:p>
    <w:p w14:paraId="58E0F254" w14:textId="77777777" w:rsidR="00AE6DC1" w:rsidRPr="00C06789" w:rsidRDefault="00AE6DC1" w:rsidP="00AE6DC1">
      <w:pPr>
        <w:rPr>
          <w:rFonts w:asciiTheme="minorHAnsi" w:hAnsiTheme="minorHAnsi" w:cstheme="minorHAnsi"/>
          <w:b/>
          <w:bCs/>
        </w:rPr>
      </w:pPr>
      <w:r w:rsidRPr="00C06789">
        <w:rPr>
          <w:rFonts w:asciiTheme="minorHAnsi" w:hAnsiTheme="minorHAnsi" w:cstheme="minorHAnsi"/>
          <w:b/>
          <w:bCs/>
        </w:rPr>
        <w:lastRenderedPageBreak/>
        <w:t>Número de proyecto: PP-A-59-353 CN-21004</w:t>
      </w:r>
    </w:p>
    <w:p w14:paraId="48BD6A9D" w14:textId="77777777" w:rsidR="00AE6DC1" w:rsidRPr="00C06789" w:rsidRDefault="00AE6DC1" w:rsidP="00AE6DC1">
      <w:pPr>
        <w:rPr>
          <w:rFonts w:eastAsiaTheme="minorEastAsia"/>
        </w:rPr>
      </w:pPr>
      <w:r w:rsidRPr="00C06789">
        <w:rPr>
          <w:rFonts w:eastAsiaTheme="minorEastAsia"/>
        </w:rPr>
        <w:t>Gobierno anfitrión: Gobierno de Costa Rica</w:t>
      </w:r>
    </w:p>
    <w:p w14:paraId="25AFEAAB" w14:textId="77777777" w:rsidR="00AE6DC1" w:rsidRPr="00C06789" w:rsidRDefault="00AE6DC1" w:rsidP="00AE6DC1">
      <w:pPr>
        <w:rPr>
          <w:rFonts w:eastAsiaTheme="minorEastAsia"/>
        </w:rPr>
      </w:pPr>
      <w:r w:rsidRPr="00C06789">
        <w:rPr>
          <w:rFonts w:eastAsiaTheme="minorEastAsia"/>
        </w:rPr>
        <w:t>Organismo ejecutor: Asociación Cámara Forestal Madera e Industria de Costa Rica (CFMI)</w:t>
      </w:r>
    </w:p>
    <w:p w14:paraId="68CA6F98" w14:textId="77777777" w:rsidR="00AE6DC1" w:rsidRPr="00C06789" w:rsidRDefault="00AE6DC1" w:rsidP="00AE6DC1">
      <w:pPr>
        <w:rPr>
          <w:rFonts w:eastAsiaTheme="minorEastAsia"/>
        </w:rPr>
      </w:pPr>
      <w:r w:rsidRPr="00C06789">
        <w:rPr>
          <w:rFonts w:eastAsiaTheme="minorEastAsia"/>
        </w:rPr>
        <w:t>Natalia Chacón Cid, coordinadora</w:t>
      </w:r>
    </w:p>
    <w:p w14:paraId="39281361" w14:textId="77777777" w:rsidR="00AE6DC1" w:rsidRPr="00C06789" w:rsidRDefault="00AE6DC1" w:rsidP="00AE6DC1">
      <w:pPr>
        <w:rPr>
          <w:rFonts w:eastAsiaTheme="minorEastAsia"/>
        </w:rPr>
      </w:pPr>
      <w:r w:rsidRPr="00C06789">
        <w:rPr>
          <w:rFonts w:eastAsiaTheme="minorEastAsia"/>
        </w:rPr>
        <w:t>Fecha de inicio: Junio, 2023</w:t>
      </w:r>
    </w:p>
    <w:p w14:paraId="517C3F10" w14:textId="77777777" w:rsidR="00AE6DC1" w:rsidRPr="00C06789" w:rsidRDefault="00AE6DC1" w:rsidP="00AE6DC1">
      <w:pPr>
        <w:rPr>
          <w:rFonts w:eastAsiaTheme="minorEastAsia"/>
        </w:rPr>
      </w:pPr>
      <w:r w:rsidRPr="00C06789">
        <w:rPr>
          <w:rFonts w:eastAsiaTheme="minorEastAsia"/>
        </w:rPr>
        <w:t>Duración del proyecto: 8 meses</w:t>
      </w:r>
    </w:p>
    <w:p w14:paraId="268C25F3" w14:textId="77777777" w:rsidR="00AE6DC1" w:rsidRPr="00C06789" w:rsidRDefault="00AE6DC1" w:rsidP="00AE6DC1">
      <w:pPr>
        <w:spacing w:after="200" w:line="288" w:lineRule="auto"/>
        <w:rPr>
          <w:rFonts w:asciiTheme="minorHAnsi" w:hAnsiTheme="minorHAnsi" w:cstheme="minorHAnsi"/>
        </w:rPr>
      </w:pPr>
      <w:r w:rsidRPr="00C06789">
        <w:rPr>
          <w:rFonts w:asciiTheme="minorHAnsi" w:hAnsiTheme="minorHAnsi" w:cstheme="minorHAnsi"/>
        </w:rPr>
        <w:br w:type="page"/>
      </w:r>
    </w:p>
    <w:sdt>
      <w:sdtPr>
        <w:rPr>
          <w:rFonts w:ascii="Calibri" w:eastAsia="Calibri" w:hAnsi="Calibri" w:cs="Calibri"/>
          <w:b w:val="0"/>
          <w:color w:val="auto"/>
          <w:sz w:val="22"/>
          <w:szCs w:val="22"/>
          <w:lang w:val="es-ES"/>
        </w:rPr>
        <w:id w:val="1285165514"/>
        <w:docPartObj>
          <w:docPartGallery w:val="Table of Contents"/>
          <w:docPartUnique/>
        </w:docPartObj>
      </w:sdtPr>
      <w:sdtEndPr>
        <w:rPr>
          <w:bCs/>
        </w:rPr>
      </w:sdtEndPr>
      <w:sdtContent>
        <w:p w14:paraId="05348644" w14:textId="55498446" w:rsidR="00AE6DC1" w:rsidRDefault="00AE6DC1">
          <w:pPr>
            <w:pStyle w:val="TtuloTDC"/>
          </w:pPr>
          <w:r>
            <w:rPr>
              <w:lang w:val="es-ES"/>
            </w:rPr>
            <w:t>Contenido</w:t>
          </w:r>
        </w:p>
        <w:p w14:paraId="210D2815" w14:textId="72C6F157" w:rsidR="00032444" w:rsidRDefault="00032444">
          <w:pPr>
            <w:pStyle w:val="TDC1"/>
            <w:tabs>
              <w:tab w:val="right" w:leader="dot" w:pos="8494"/>
            </w:tabs>
            <w:rPr>
              <w:rFonts w:asciiTheme="minorHAnsi" w:eastAsiaTheme="minorEastAsia" w:hAnsiTheme="minorHAnsi" w:cstheme="minorBidi"/>
              <w:noProof/>
              <w:kern w:val="2"/>
              <w:sz w:val="24"/>
              <w:szCs w:val="24"/>
              <w14:ligatures w14:val="standardContextual"/>
            </w:rPr>
          </w:pPr>
          <w:r>
            <w:fldChar w:fldCharType="begin"/>
          </w:r>
          <w:r>
            <w:instrText xml:space="preserve"> TOC \o "1-3" \h \z \u </w:instrText>
          </w:r>
          <w:r>
            <w:fldChar w:fldCharType="separate"/>
          </w:r>
          <w:hyperlink w:anchor="_Toc159442576" w:history="1">
            <w:r w:rsidRPr="00901372">
              <w:rPr>
                <w:rStyle w:val="Hipervnculo"/>
                <w:noProof/>
              </w:rPr>
              <w:t>Acrónimos</w:t>
            </w:r>
            <w:r>
              <w:rPr>
                <w:noProof/>
                <w:webHidden/>
              </w:rPr>
              <w:tab/>
            </w:r>
            <w:r>
              <w:rPr>
                <w:noProof/>
                <w:webHidden/>
              </w:rPr>
              <w:fldChar w:fldCharType="begin"/>
            </w:r>
            <w:r>
              <w:rPr>
                <w:noProof/>
                <w:webHidden/>
              </w:rPr>
              <w:instrText xml:space="preserve"> PAGEREF _Toc159442576 \h </w:instrText>
            </w:r>
            <w:r>
              <w:rPr>
                <w:noProof/>
                <w:webHidden/>
              </w:rPr>
            </w:r>
            <w:r>
              <w:rPr>
                <w:noProof/>
                <w:webHidden/>
              </w:rPr>
              <w:fldChar w:fldCharType="separate"/>
            </w:r>
            <w:r w:rsidR="00536A05">
              <w:rPr>
                <w:noProof/>
                <w:webHidden/>
              </w:rPr>
              <w:t>5</w:t>
            </w:r>
            <w:r>
              <w:rPr>
                <w:noProof/>
                <w:webHidden/>
              </w:rPr>
              <w:fldChar w:fldCharType="end"/>
            </w:r>
          </w:hyperlink>
        </w:p>
        <w:p w14:paraId="10C78154" w14:textId="538D6144" w:rsidR="00032444" w:rsidRDefault="00000000">
          <w:pPr>
            <w:pStyle w:val="TDC1"/>
            <w:tabs>
              <w:tab w:val="right" w:leader="dot" w:pos="8494"/>
            </w:tabs>
            <w:rPr>
              <w:rFonts w:asciiTheme="minorHAnsi" w:eastAsiaTheme="minorEastAsia" w:hAnsiTheme="minorHAnsi" w:cstheme="minorBidi"/>
              <w:noProof/>
              <w:kern w:val="2"/>
              <w:sz w:val="24"/>
              <w:szCs w:val="24"/>
              <w14:ligatures w14:val="standardContextual"/>
            </w:rPr>
          </w:pPr>
          <w:hyperlink w:anchor="_Toc159442577" w:history="1">
            <w:r w:rsidR="00032444" w:rsidRPr="00901372">
              <w:rPr>
                <w:rStyle w:val="Hipervnculo"/>
                <w:rFonts w:eastAsia="Arial"/>
                <w:noProof/>
              </w:rPr>
              <w:t>Resumen</w:t>
            </w:r>
            <w:r w:rsidR="00032444">
              <w:rPr>
                <w:noProof/>
                <w:webHidden/>
              </w:rPr>
              <w:tab/>
            </w:r>
            <w:r w:rsidR="00032444">
              <w:rPr>
                <w:noProof/>
                <w:webHidden/>
              </w:rPr>
              <w:fldChar w:fldCharType="begin"/>
            </w:r>
            <w:r w:rsidR="00032444">
              <w:rPr>
                <w:noProof/>
                <w:webHidden/>
              </w:rPr>
              <w:instrText xml:space="preserve"> PAGEREF _Toc159442577 \h </w:instrText>
            </w:r>
            <w:r w:rsidR="00032444">
              <w:rPr>
                <w:noProof/>
                <w:webHidden/>
              </w:rPr>
            </w:r>
            <w:r w:rsidR="00032444">
              <w:rPr>
                <w:noProof/>
                <w:webHidden/>
              </w:rPr>
              <w:fldChar w:fldCharType="separate"/>
            </w:r>
            <w:r w:rsidR="00536A05">
              <w:rPr>
                <w:noProof/>
                <w:webHidden/>
              </w:rPr>
              <w:t>6</w:t>
            </w:r>
            <w:r w:rsidR="00032444">
              <w:rPr>
                <w:noProof/>
                <w:webHidden/>
              </w:rPr>
              <w:fldChar w:fldCharType="end"/>
            </w:r>
          </w:hyperlink>
        </w:p>
        <w:p w14:paraId="50B922DF" w14:textId="4B845118" w:rsidR="00032444" w:rsidRDefault="00000000">
          <w:pPr>
            <w:pStyle w:val="TDC1"/>
            <w:tabs>
              <w:tab w:val="left" w:pos="440"/>
              <w:tab w:val="right" w:leader="dot" w:pos="8494"/>
            </w:tabs>
            <w:rPr>
              <w:rFonts w:asciiTheme="minorHAnsi" w:eastAsiaTheme="minorEastAsia" w:hAnsiTheme="minorHAnsi" w:cstheme="minorBidi"/>
              <w:noProof/>
              <w:kern w:val="2"/>
              <w:sz w:val="24"/>
              <w:szCs w:val="24"/>
              <w14:ligatures w14:val="standardContextual"/>
            </w:rPr>
          </w:pPr>
          <w:hyperlink w:anchor="_Toc159442578" w:history="1">
            <w:r w:rsidR="00032444" w:rsidRPr="00901372">
              <w:rPr>
                <w:rStyle w:val="Hipervnculo"/>
                <w:noProof/>
              </w:rPr>
              <w:t>1.</w:t>
            </w:r>
            <w:r w:rsidR="00032444">
              <w:rPr>
                <w:rFonts w:asciiTheme="minorHAnsi" w:eastAsiaTheme="minorEastAsia" w:hAnsiTheme="minorHAnsi" w:cstheme="minorBidi"/>
                <w:noProof/>
                <w:kern w:val="2"/>
                <w:sz w:val="24"/>
                <w:szCs w:val="24"/>
                <w14:ligatures w14:val="standardContextual"/>
              </w:rPr>
              <w:tab/>
            </w:r>
            <w:r w:rsidR="00032444" w:rsidRPr="00901372">
              <w:rPr>
                <w:rStyle w:val="Hipervnculo"/>
                <w:noProof/>
              </w:rPr>
              <w:t>Introducción</w:t>
            </w:r>
            <w:r w:rsidR="00032444">
              <w:rPr>
                <w:noProof/>
                <w:webHidden/>
              </w:rPr>
              <w:tab/>
            </w:r>
            <w:r w:rsidR="00032444">
              <w:rPr>
                <w:noProof/>
                <w:webHidden/>
              </w:rPr>
              <w:fldChar w:fldCharType="begin"/>
            </w:r>
            <w:r w:rsidR="00032444">
              <w:rPr>
                <w:noProof/>
                <w:webHidden/>
              </w:rPr>
              <w:instrText xml:space="preserve"> PAGEREF _Toc159442578 \h </w:instrText>
            </w:r>
            <w:r w:rsidR="00032444">
              <w:rPr>
                <w:noProof/>
                <w:webHidden/>
              </w:rPr>
            </w:r>
            <w:r w:rsidR="00032444">
              <w:rPr>
                <w:noProof/>
                <w:webHidden/>
              </w:rPr>
              <w:fldChar w:fldCharType="separate"/>
            </w:r>
            <w:r w:rsidR="00536A05">
              <w:rPr>
                <w:noProof/>
                <w:webHidden/>
              </w:rPr>
              <w:t>7</w:t>
            </w:r>
            <w:r w:rsidR="00032444">
              <w:rPr>
                <w:noProof/>
                <w:webHidden/>
              </w:rPr>
              <w:fldChar w:fldCharType="end"/>
            </w:r>
          </w:hyperlink>
        </w:p>
        <w:p w14:paraId="697B970E" w14:textId="7E208BB6" w:rsidR="00032444" w:rsidRDefault="00000000">
          <w:pPr>
            <w:pStyle w:val="TDC1"/>
            <w:tabs>
              <w:tab w:val="left" w:pos="440"/>
              <w:tab w:val="right" w:leader="dot" w:pos="8494"/>
            </w:tabs>
            <w:rPr>
              <w:rFonts w:asciiTheme="minorHAnsi" w:eastAsiaTheme="minorEastAsia" w:hAnsiTheme="minorHAnsi" w:cstheme="minorBidi"/>
              <w:noProof/>
              <w:kern w:val="2"/>
              <w:sz w:val="24"/>
              <w:szCs w:val="24"/>
              <w14:ligatures w14:val="standardContextual"/>
            </w:rPr>
          </w:pPr>
          <w:hyperlink w:anchor="_Toc159442579" w:history="1">
            <w:r w:rsidR="00032444" w:rsidRPr="00901372">
              <w:rPr>
                <w:rStyle w:val="Hipervnculo"/>
                <w:bCs/>
                <w:noProof/>
              </w:rPr>
              <w:t>2.</w:t>
            </w:r>
            <w:r w:rsidR="00032444">
              <w:rPr>
                <w:rFonts w:asciiTheme="minorHAnsi" w:eastAsiaTheme="minorEastAsia" w:hAnsiTheme="minorHAnsi" w:cstheme="minorBidi"/>
                <w:noProof/>
                <w:kern w:val="2"/>
                <w:sz w:val="24"/>
                <w:szCs w:val="24"/>
                <w14:ligatures w14:val="standardContextual"/>
              </w:rPr>
              <w:tab/>
            </w:r>
            <w:r w:rsidR="00032444" w:rsidRPr="00901372">
              <w:rPr>
                <w:rStyle w:val="Hipervnculo"/>
                <w:bCs/>
                <w:noProof/>
              </w:rPr>
              <w:t>Metodología aplicada</w:t>
            </w:r>
            <w:r w:rsidR="00032444">
              <w:rPr>
                <w:noProof/>
                <w:webHidden/>
              </w:rPr>
              <w:tab/>
            </w:r>
            <w:r w:rsidR="00032444">
              <w:rPr>
                <w:noProof/>
                <w:webHidden/>
              </w:rPr>
              <w:fldChar w:fldCharType="begin"/>
            </w:r>
            <w:r w:rsidR="00032444">
              <w:rPr>
                <w:noProof/>
                <w:webHidden/>
              </w:rPr>
              <w:instrText xml:space="preserve"> PAGEREF _Toc159442579 \h </w:instrText>
            </w:r>
            <w:r w:rsidR="00032444">
              <w:rPr>
                <w:noProof/>
                <w:webHidden/>
              </w:rPr>
            </w:r>
            <w:r w:rsidR="00032444">
              <w:rPr>
                <w:noProof/>
                <w:webHidden/>
              </w:rPr>
              <w:fldChar w:fldCharType="separate"/>
            </w:r>
            <w:r w:rsidR="00536A05">
              <w:rPr>
                <w:noProof/>
                <w:webHidden/>
              </w:rPr>
              <w:t>8</w:t>
            </w:r>
            <w:r w:rsidR="00032444">
              <w:rPr>
                <w:noProof/>
                <w:webHidden/>
              </w:rPr>
              <w:fldChar w:fldCharType="end"/>
            </w:r>
          </w:hyperlink>
        </w:p>
        <w:p w14:paraId="455EF051" w14:textId="5842252E" w:rsidR="00032444" w:rsidRDefault="00000000">
          <w:pPr>
            <w:pStyle w:val="TDC2"/>
            <w:rPr>
              <w:rFonts w:asciiTheme="minorHAnsi" w:eastAsiaTheme="minorEastAsia" w:hAnsiTheme="minorHAnsi" w:cstheme="minorBidi"/>
              <w:noProof/>
              <w:kern w:val="2"/>
              <w:sz w:val="24"/>
              <w:szCs w:val="24"/>
              <w14:ligatures w14:val="standardContextual"/>
            </w:rPr>
          </w:pPr>
          <w:hyperlink w:anchor="_Toc159442580" w:history="1">
            <w:r w:rsidR="00032444" w:rsidRPr="00901372">
              <w:rPr>
                <w:rStyle w:val="Hipervnculo"/>
                <w:noProof/>
              </w:rPr>
              <w:t>2.1</w:t>
            </w:r>
            <w:r w:rsidR="00032444">
              <w:rPr>
                <w:rFonts w:asciiTheme="minorHAnsi" w:eastAsiaTheme="minorEastAsia" w:hAnsiTheme="minorHAnsi" w:cstheme="minorBidi"/>
                <w:noProof/>
                <w:kern w:val="2"/>
                <w:sz w:val="24"/>
                <w:szCs w:val="24"/>
                <w14:ligatures w14:val="standardContextual"/>
              </w:rPr>
              <w:tab/>
            </w:r>
            <w:r w:rsidR="00032444" w:rsidRPr="00901372">
              <w:rPr>
                <w:rStyle w:val="Hipervnculo"/>
                <w:noProof/>
              </w:rPr>
              <w:t>Ubicación del proyecto</w:t>
            </w:r>
            <w:r w:rsidR="00032444">
              <w:rPr>
                <w:noProof/>
                <w:webHidden/>
              </w:rPr>
              <w:tab/>
            </w:r>
            <w:r w:rsidR="00032444">
              <w:rPr>
                <w:noProof/>
                <w:webHidden/>
              </w:rPr>
              <w:fldChar w:fldCharType="begin"/>
            </w:r>
            <w:r w:rsidR="00032444">
              <w:rPr>
                <w:noProof/>
                <w:webHidden/>
              </w:rPr>
              <w:instrText xml:space="preserve"> PAGEREF _Toc159442580 \h </w:instrText>
            </w:r>
            <w:r w:rsidR="00032444">
              <w:rPr>
                <w:noProof/>
                <w:webHidden/>
              </w:rPr>
            </w:r>
            <w:r w:rsidR="00032444">
              <w:rPr>
                <w:noProof/>
                <w:webHidden/>
              </w:rPr>
              <w:fldChar w:fldCharType="separate"/>
            </w:r>
            <w:r w:rsidR="00536A05">
              <w:rPr>
                <w:noProof/>
                <w:webHidden/>
              </w:rPr>
              <w:t>8</w:t>
            </w:r>
            <w:r w:rsidR="00032444">
              <w:rPr>
                <w:noProof/>
                <w:webHidden/>
              </w:rPr>
              <w:fldChar w:fldCharType="end"/>
            </w:r>
          </w:hyperlink>
        </w:p>
        <w:p w14:paraId="66363368" w14:textId="61268B29" w:rsidR="00032444" w:rsidRDefault="00000000">
          <w:pPr>
            <w:pStyle w:val="TDC3"/>
            <w:tabs>
              <w:tab w:val="right" w:leader="dot" w:pos="8494"/>
            </w:tabs>
            <w:rPr>
              <w:rFonts w:asciiTheme="minorHAnsi" w:eastAsiaTheme="minorEastAsia" w:hAnsiTheme="minorHAnsi" w:cstheme="minorBidi"/>
              <w:noProof/>
              <w:kern w:val="2"/>
              <w:sz w:val="24"/>
              <w:szCs w:val="24"/>
              <w14:ligatures w14:val="standardContextual"/>
            </w:rPr>
          </w:pPr>
          <w:hyperlink w:anchor="_Toc159442581" w:history="1">
            <w:r w:rsidR="00032444" w:rsidRPr="00901372">
              <w:rPr>
                <w:rStyle w:val="Hipervnculo"/>
                <w:noProof/>
              </w:rPr>
              <w:t>Región Chorotega</w:t>
            </w:r>
            <w:r w:rsidR="00032444">
              <w:rPr>
                <w:noProof/>
                <w:webHidden/>
              </w:rPr>
              <w:tab/>
            </w:r>
            <w:r w:rsidR="00032444">
              <w:rPr>
                <w:noProof/>
                <w:webHidden/>
              </w:rPr>
              <w:fldChar w:fldCharType="begin"/>
            </w:r>
            <w:r w:rsidR="00032444">
              <w:rPr>
                <w:noProof/>
                <w:webHidden/>
              </w:rPr>
              <w:instrText xml:space="preserve"> PAGEREF _Toc159442581 \h </w:instrText>
            </w:r>
            <w:r w:rsidR="00032444">
              <w:rPr>
                <w:noProof/>
                <w:webHidden/>
              </w:rPr>
            </w:r>
            <w:r w:rsidR="00032444">
              <w:rPr>
                <w:noProof/>
                <w:webHidden/>
              </w:rPr>
              <w:fldChar w:fldCharType="separate"/>
            </w:r>
            <w:r w:rsidR="00536A05">
              <w:rPr>
                <w:noProof/>
                <w:webHidden/>
              </w:rPr>
              <w:t>8</w:t>
            </w:r>
            <w:r w:rsidR="00032444">
              <w:rPr>
                <w:noProof/>
                <w:webHidden/>
              </w:rPr>
              <w:fldChar w:fldCharType="end"/>
            </w:r>
          </w:hyperlink>
        </w:p>
        <w:p w14:paraId="485F10C5" w14:textId="5A13F31C" w:rsidR="00032444" w:rsidRDefault="00000000">
          <w:pPr>
            <w:pStyle w:val="TDC3"/>
            <w:tabs>
              <w:tab w:val="right" w:leader="dot" w:pos="8494"/>
            </w:tabs>
            <w:rPr>
              <w:rFonts w:asciiTheme="minorHAnsi" w:eastAsiaTheme="minorEastAsia" w:hAnsiTheme="minorHAnsi" w:cstheme="minorBidi"/>
              <w:noProof/>
              <w:kern w:val="2"/>
              <w:sz w:val="24"/>
              <w:szCs w:val="24"/>
              <w14:ligatures w14:val="standardContextual"/>
            </w:rPr>
          </w:pPr>
          <w:hyperlink w:anchor="_Toc159442582" w:history="1">
            <w:r w:rsidR="00032444" w:rsidRPr="00901372">
              <w:rPr>
                <w:rStyle w:val="Hipervnculo"/>
                <w:noProof/>
              </w:rPr>
              <w:t>Región Huetar Norte</w:t>
            </w:r>
            <w:r w:rsidR="00032444">
              <w:rPr>
                <w:noProof/>
                <w:webHidden/>
              </w:rPr>
              <w:tab/>
            </w:r>
            <w:r w:rsidR="00032444">
              <w:rPr>
                <w:noProof/>
                <w:webHidden/>
              </w:rPr>
              <w:fldChar w:fldCharType="begin"/>
            </w:r>
            <w:r w:rsidR="00032444">
              <w:rPr>
                <w:noProof/>
                <w:webHidden/>
              </w:rPr>
              <w:instrText xml:space="preserve"> PAGEREF _Toc159442582 \h </w:instrText>
            </w:r>
            <w:r w:rsidR="00032444">
              <w:rPr>
                <w:noProof/>
                <w:webHidden/>
              </w:rPr>
            </w:r>
            <w:r w:rsidR="00032444">
              <w:rPr>
                <w:noProof/>
                <w:webHidden/>
              </w:rPr>
              <w:fldChar w:fldCharType="separate"/>
            </w:r>
            <w:r w:rsidR="00536A05">
              <w:rPr>
                <w:noProof/>
                <w:webHidden/>
              </w:rPr>
              <w:t>8</w:t>
            </w:r>
            <w:r w:rsidR="00032444">
              <w:rPr>
                <w:noProof/>
                <w:webHidden/>
              </w:rPr>
              <w:fldChar w:fldCharType="end"/>
            </w:r>
          </w:hyperlink>
        </w:p>
        <w:p w14:paraId="0213364E" w14:textId="7C149727" w:rsidR="00032444" w:rsidRDefault="00000000">
          <w:pPr>
            <w:pStyle w:val="TDC2"/>
            <w:rPr>
              <w:rFonts w:asciiTheme="minorHAnsi" w:eastAsiaTheme="minorEastAsia" w:hAnsiTheme="minorHAnsi" w:cstheme="minorBidi"/>
              <w:noProof/>
              <w:kern w:val="2"/>
              <w:sz w:val="24"/>
              <w:szCs w:val="24"/>
              <w14:ligatures w14:val="standardContextual"/>
            </w:rPr>
          </w:pPr>
          <w:hyperlink w:anchor="_Toc159442583" w:history="1">
            <w:r w:rsidR="00032444" w:rsidRPr="00901372">
              <w:rPr>
                <w:rStyle w:val="Hipervnculo"/>
                <w:noProof/>
              </w:rPr>
              <w:t>2.2</w:t>
            </w:r>
            <w:r w:rsidR="00032444">
              <w:rPr>
                <w:rFonts w:asciiTheme="minorHAnsi" w:eastAsiaTheme="minorEastAsia" w:hAnsiTheme="minorHAnsi" w:cstheme="minorBidi"/>
                <w:noProof/>
                <w:kern w:val="2"/>
                <w:sz w:val="24"/>
                <w:szCs w:val="24"/>
                <w14:ligatures w14:val="standardContextual"/>
              </w:rPr>
              <w:tab/>
            </w:r>
            <w:r w:rsidR="00032444" w:rsidRPr="00901372">
              <w:rPr>
                <w:rStyle w:val="Hipervnculo"/>
                <w:noProof/>
              </w:rPr>
              <w:t xml:space="preserve">Reuniones de coordinación con el Ministerio de Economía, Industria y Comercio </w:t>
            </w:r>
            <w:r w:rsidR="00032444">
              <w:rPr>
                <w:rStyle w:val="Hipervnculo"/>
                <w:noProof/>
              </w:rPr>
              <w:t xml:space="preserve"> </w:t>
            </w:r>
            <w:r w:rsidR="00032444" w:rsidRPr="00901372">
              <w:rPr>
                <w:rStyle w:val="Hipervnculo"/>
                <w:noProof/>
              </w:rPr>
              <w:t>(MEIC)</w:t>
            </w:r>
            <w:r w:rsidR="00032444">
              <w:rPr>
                <w:noProof/>
                <w:webHidden/>
              </w:rPr>
              <w:tab/>
            </w:r>
            <w:r w:rsidR="00032444">
              <w:rPr>
                <w:noProof/>
                <w:webHidden/>
              </w:rPr>
              <w:fldChar w:fldCharType="begin"/>
            </w:r>
            <w:r w:rsidR="00032444">
              <w:rPr>
                <w:noProof/>
                <w:webHidden/>
              </w:rPr>
              <w:instrText xml:space="preserve"> PAGEREF _Toc159442583 \h </w:instrText>
            </w:r>
            <w:r w:rsidR="00032444">
              <w:rPr>
                <w:noProof/>
                <w:webHidden/>
              </w:rPr>
            </w:r>
            <w:r w:rsidR="00032444">
              <w:rPr>
                <w:noProof/>
                <w:webHidden/>
              </w:rPr>
              <w:fldChar w:fldCharType="separate"/>
            </w:r>
            <w:r w:rsidR="00536A05">
              <w:rPr>
                <w:noProof/>
                <w:webHidden/>
              </w:rPr>
              <w:t>10</w:t>
            </w:r>
            <w:r w:rsidR="00032444">
              <w:rPr>
                <w:noProof/>
                <w:webHidden/>
              </w:rPr>
              <w:fldChar w:fldCharType="end"/>
            </w:r>
          </w:hyperlink>
        </w:p>
        <w:p w14:paraId="3616EE8E" w14:textId="7D6AE9B3" w:rsidR="00032444" w:rsidRDefault="00000000">
          <w:pPr>
            <w:pStyle w:val="TDC2"/>
            <w:rPr>
              <w:rFonts w:asciiTheme="minorHAnsi" w:eastAsiaTheme="minorEastAsia" w:hAnsiTheme="minorHAnsi" w:cstheme="minorBidi"/>
              <w:noProof/>
              <w:kern w:val="2"/>
              <w:sz w:val="24"/>
              <w:szCs w:val="24"/>
              <w14:ligatures w14:val="standardContextual"/>
            </w:rPr>
          </w:pPr>
          <w:hyperlink w:anchor="_Toc159442584" w:history="1">
            <w:r w:rsidR="00032444" w:rsidRPr="00901372">
              <w:rPr>
                <w:rStyle w:val="Hipervnculo"/>
                <w:noProof/>
              </w:rPr>
              <w:t>2.3</w:t>
            </w:r>
            <w:r w:rsidR="00032444">
              <w:rPr>
                <w:rFonts w:asciiTheme="minorHAnsi" w:eastAsiaTheme="minorEastAsia" w:hAnsiTheme="minorHAnsi" w:cstheme="minorBidi"/>
                <w:noProof/>
                <w:kern w:val="2"/>
                <w:sz w:val="24"/>
                <w:szCs w:val="24"/>
                <w14:ligatures w14:val="standardContextual"/>
              </w:rPr>
              <w:tab/>
            </w:r>
            <w:r w:rsidR="00032444" w:rsidRPr="00901372">
              <w:rPr>
                <w:rStyle w:val="Hipervnculo"/>
                <w:noProof/>
              </w:rPr>
              <w:t>Reuniones de coordinación con la Promotora Comercial de Costa Rica (PROCOMER)</w:t>
            </w:r>
            <w:r w:rsidR="00032444">
              <w:rPr>
                <w:noProof/>
                <w:webHidden/>
              </w:rPr>
              <w:tab/>
            </w:r>
            <w:r w:rsidR="00032444">
              <w:rPr>
                <w:noProof/>
                <w:webHidden/>
              </w:rPr>
              <w:fldChar w:fldCharType="begin"/>
            </w:r>
            <w:r w:rsidR="00032444">
              <w:rPr>
                <w:noProof/>
                <w:webHidden/>
              </w:rPr>
              <w:instrText xml:space="preserve"> PAGEREF _Toc159442584 \h </w:instrText>
            </w:r>
            <w:r w:rsidR="00032444">
              <w:rPr>
                <w:noProof/>
                <w:webHidden/>
              </w:rPr>
            </w:r>
            <w:r w:rsidR="00032444">
              <w:rPr>
                <w:noProof/>
                <w:webHidden/>
              </w:rPr>
              <w:fldChar w:fldCharType="separate"/>
            </w:r>
            <w:r w:rsidR="00536A05">
              <w:rPr>
                <w:noProof/>
                <w:webHidden/>
              </w:rPr>
              <w:t>10</w:t>
            </w:r>
            <w:r w:rsidR="00032444">
              <w:rPr>
                <w:noProof/>
                <w:webHidden/>
              </w:rPr>
              <w:fldChar w:fldCharType="end"/>
            </w:r>
          </w:hyperlink>
        </w:p>
        <w:p w14:paraId="28CA9B7A" w14:textId="179EC90D" w:rsidR="00032444" w:rsidRDefault="00000000">
          <w:pPr>
            <w:pStyle w:val="TDC2"/>
            <w:rPr>
              <w:rFonts w:asciiTheme="minorHAnsi" w:eastAsiaTheme="minorEastAsia" w:hAnsiTheme="minorHAnsi" w:cstheme="minorBidi"/>
              <w:noProof/>
              <w:kern w:val="2"/>
              <w:sz w:val="24"/>
              <w:szCs w:val="24"/>
              <w14:ligatures w14:val="standardContextual"/>
            </w:rPr>
          </w:pPr>
          <w:hyperlink w:anchor="_Toc159442585" w:history="1">
            <w:r w:rsidR="00032444" w:rsidRPr="00901372">
              <w:rPr>
                <w:rStyle w:val="Hipervnculo"/>
                <w:noProof/>
              </w:rPr>
              <w:t>2.4</w:t>
            </w:r>
            <w:r w:rsidR="00032444">
              <w:rPr>
                <w:rFonts w:asciiTheme="minorHAnsi" w:eastAsiaTheme="minorEastAsia" w:hAnsiTheme="minorHAnsi" w:cstheme="minorBidi"/>
                <w:noProof/>
                <w:kern w:val="2"/>
                <w:sz w:val="24"/>
                <w:szCs w:val="24"/>
                <w14:ligatures w14:val="standardContextual"/>
              </w:rPr>
              <w:tab/>
            </w:r>
            <w:r w:rsidR="00032444" w:rsidRPr="00901372">
              <w:rPr>
                <w:rStyle w:val="Hipervnculo"/>
                <w:noProof/>
              </w:rPr>
              <w:t>Definición de objetivos, metas y alcances para las hojas de ruta</w:t>
            </w:r>
            <w:r w:rsidR="00032444">
              <w:rPr>
                <w:noProof/>
                <w:webHidden/>
              </w:rPr>
              <w:tab/>
            </w:r>
            <w:r w:rsidR="00032444">
              <w:rPr>
                <w:noProof/>
                <w:webHidden/>
              </w:rPr>
              <w:fldChar w:fldCharType="begin"/>
            </w:r>
            <w:r w:rsidR="00032444">
              <w:rPr>
                <w:noProof/>
                <w:webHidden/>
              </w:rPr>
              <w:instrText xml:space="preserve"> PAGEREF _Toc159442585 \h </w:instrText>
            </w:r>
            <w:r w:rsidR="00032444">
              <w:rPr>
                <w:noProof/>
                <w:webHidden/>
              </w:rPr>
            </w:r>
            <w:r w:rsidR="00032444">
              <w:rPr>
                <w:noProof/>
                <w:webHidden/>
              </w:rPr>
              <w:fldChar w:fldCharType="separate"/>
            </w:r>
            <w:r w:rsidR="00536A05">
              <w:rPr>
                <w:noProof/>
                <w:webHidden/>
              </w:rPr>
              <w:t>11</w:t>
            </w:r>
            <w:r w:rsidR="00032444">
              <w:rPr>
                <w:noProof/>
                <w:webHidden/>
              </w:rPr>
              <w:fldChar w:fldCharType="end"/>
            </w:r>
          </w:hyperlink>
        </w:p>
        <w:p w14:paraId="7FBB5249" w14:textId="4367500F" w:rsidR="00032444" w:rsidRDefault="00000000">
          <w:pPr>
            <w:pStyle w:val="TDC1"/>
            <w:tabs>
              <w:tab w:val="left" w:pos="440"/>
              <w:tab w:val="right" w:leader="dot" w:pos="8494"/>
            </w:tabs>
            <w:rPr>
              <w:rFonts w:asciiTheme="minorHAnsi" w:eastAsiaTheme="minorEastAsia" w:hAnsiTheme="minorHAnsi" w:cstheme="minorBidi"/>
              <w:noProof/>
              <w:kern w:val="2"/>
              <w:sz w:val="24"/>
              <w:szCs w:val="24"/>
              <w14:ligatures w14:val="standardContextual"/>
            </w:rPr>
          </w:pPr>
          <w:hyperlink w:anchor="_Toc159442586" w:history="1">
            <w:r w:rsidR="00032444" w:rsidRPr="00901372">
              <w:rPr>
                <w:rStyle w:val="Hipervnculo"/>
                <w:noProof/>
              </w:rPr>
              <w:t>3.</w:t>
            </w:r>
            <w:r w:rsidR="00032444">
              <w:rPr>
                <w:rFonts w:asciiTheme="minorHAnsi" w:eastAsiaTheme="minorEastAsia" w:hAnsiTheme="minorHAnsi" w:cstheme="minorBidi"/>
                <w:noProof/>
                <w:kern w:val="2"/>
                <w:sz w:val="24"/>
                <w:szCs w:val="24"/>
                <w14:ligatures w14:val="standardContextual"/>
              </w:rPr>
              <w:tab/>
            </w:r>
            <w:r w:rsidR="00032444" w:rsidRPr="00901372">
              <w:rPr>
                <w:rStyle w:val="Hipervnculo"/>
                <w:noProof/>
              </w:rPr>
              <w:t>Presentación de datos</w:t>
            </w:r>
            <w:r w:rsidR="00032444">
              <w:rPr>
                <w:noProof/>
                <w:webHidden/>
              </w:rPr>
              <w:tab/>
            </w:r>
            <w:r w:rsidR="00032444">
              <w:rPr>
                <w:noProof/>
                <w:webHidden/>
              </w:rPr>
              <w:fldChar w:fldCharType="begin"/>
            </w:r>
            <w:r w:rsidR="00032444">
              <w:rPr>
                <w:noProof/>
                <w:webHidden/>
              </w:rPr>
              <w:instrText xml:space="preserve"> PAGEREF _Toc159442586 \h </w:instrText>
            </w:r>
            <w:r w:rsidR="00032444">
              <w:rPr>
                <w:noProof/>
                <w:webHidden/>
              </w:rPr>
            </w:r>
            <w:r w:rsidR="00032444">
              <w:rPr>
                <w:noProof/>
                <w:webHidden/>
              </w:rPr>
              <w:fldChar w:fldCharType="separate"/>
            </w:r>
            <w:r w:rsidR="00536A05">
              <w:rPr>
                <w:noProof/>
                <w:webHidden/>
              </w:rPr>
              <w:t>12</w:t>
            </w:r>
            <w:r w:rsidR="00032444">
              <w:rPr>
                <w:noProof/>
                <w:webHidden/>
              </w:rPr>
              <w:fldChar w:fldCharType="end"/>
            </w:r>
          </w:hyperlink>
        </w:p>
        <w:p w14:paraId="5050B8D9" w14:textId="04BAD1E7" w:rsidR="00032444" w:rsidRDefault="00000000">
          <w:pPr>
            <w:pStyle w:val="TDC2"/>
            <w:rPr>
              <w:rFonts w:asciiTheme="minorHAnsi" w:eastAsiaTheme="minorEastAsia" w:hAnsiTheme="minorHAnsi" w:cstheme="minorBidi"/>
              <w:noProof/>
              <w:kern w:val="2"/>
              <w:sz w:val="24"/>
              <w:szCs w:val="24"/>
              <w14:ligatures w14:val="standardContextual"/>
            </w:rPr>
          </w:pPr>
          <w:hyperlink w:anchor="_Toc159442587" w:history="1">
            <w:r w:rsidR="00032444" w:rsidRPr="00901372">
              <w:rPr>
                <w:rStyle w:val="Hipervnculo"/>
                <w:noProof/>
              </w:rPr>
              <w:t>3.1 Contextualización sobre la institucionalidad comercial y empresarial costarricense</w:t>
            </w:r>
            <w:r w:rsidR="00032444">
              <w:rPr>
                <w:noProof/>
                <w:webHidden/>
              </w:rPr>
              <w:tab/>
            </w:r>
            <w:r w:rsidR="00032444">
              <w:rPr>
                <w:noProof/>
                <w:webHidden/>
              </w:rPr>
              <w:fldChar w:fldCharType="begin"/>
            </w:r>
            <w:r w:rsidR="00032444">
              <w:rPr>
                <w:noProof/>
                <w:webHidden/>
              </w:rPr>
              <w:instrText xml:space="preserve"> PAGEREF _Toc159442587 \h </w:instrText>
            </w:r>
            <w:r w:rsidR="00032444">
              <w:rPr>
                <w:noProof/>
                <w:webHidden/>
              </w:rPr>
            </w:r>
            <w:r w:rsidR="00032444">
              <w:rPr>
                <w:noProof/>
                <w:webHidden/>
              </w:rPr>
              <w:fldChar w:fldCharType="separate"/>
            </w:r>
            <w:r w:rsidR="00536A05">
              <w:rPr>
                <w:noProof/>
                <w:webHidden/>
              </w:rPr>
              <w:t>12</w:t>
            </w:r>
            <w:r w:rsidR="00032444">
              <w:rPr>
                <w:noProof/>
                <w:webHidden/>
              </w:rPr>
              <w:fldChar w:fldCharType="end"/>
            </w:r>
          </w:hyperlink>
        </w:p>
        <w:p w14:paraId="43D04043" w14:textId="0B54A7B5" w:rsidR="00032444" w:rsidRDefault="00000000">
          <w:pPr>
            <w:pStyle w:val="TDC3"/>
            <w:tabs>
              <w:tab w:val="right" w:leader="dot" w:pos="8494"/>
            </w:tabs>
            <w:rPr>
              <w:rFonts w:asciiTheme="minorHAnsi" w:eastAsiaTheme="minorEastAsia" w:hAnsiTheme="minorHAnsi" w:cstheme="minorBidi"/>
              <w:noProof/>
              <w:kern w:val="2"/>
              <w:sz w:val="24"/>
              <w:szCs w:val="24"/>
              <w14:ligatures w14:val="standardContextual"/>
            </w:rPr>
          </w:pPr>
          <w:hyperlink w:anchor="_Toc159442588" w:history="1">
            <w:r w:rsidR="00032444" w:rsidRPr="00901372">
              <w:rPr>
                <w:rStyle w:val="Hipervnculo"/>
                <w:noProof/>
              </w:rPr>
              <w:t>3.1.1 Ministerio de Economía, Industria y Comercio (MEIC)</w:t>
            </w:r>
            <w:r w:rsidR="00032444">
              <w:rPr>
                <w:noProof/>
                <w:webHidden/>
              </w:rPr>
              <w:tab/>
            </w:r>
            <w:r w:rsidR="00032444">
              <w:rPr>
                <w:noProof/>
                <w:webHidden/>
              </w:rPr>
              <w:fldChar w:fldCharType="begin"/>
            </w:r>
            <w:r w:rsidR="00032444">
              <w:rPr>
                <w:noProof/>
                <w:webHidden/>
              </w:rPr>
              <w:instrText xml:space="preserve"> PAGEREF _Toc159442588 \h </w:instrText>
            </w:r>
            <w:r w:rsidR="00032444">
              <w:rPr>
                <w:noProof/>
                <w:webHidden/>
              </w:rPr>
            </w:r>
            <w:r w:rsidR="00032444">
              <w:rPr>
                <w:noProof/>
                <w:webHidden/>
              </w:rPr>
              <w:fldChar w:fldCharType="separate"/>
            </w:r>
            <w:r w:rsidR="00536A05">
              <w:rPr>
                <w:noProof/>
                <w:webHidden/>
              </w:rPr>
              <w:t>12</w:t>
            </w:r>
            <w:r w:rsidR="00032444">
              <w:rPr>
                <w:noProof/>
                <w:webHidden/>
              </w:rPr>
              <w:fldChar w:fldCharType="end"/>
            </w:r>
          </w:hyperlink>
        </w:p>
        <w:p w14:paraId="273E259B" w14:textId="1545443B" w:rsidR="00032444" w:rsidRDefault="00000000">
          <w:pPr>
            <w:pStyle w:val="TDC3"/>
            <w:tabs>
              <w:tab w:val="right" w:leader="dot" w:pos="8494"/>
            </w:tabs>
            <w:rPr>
              <w:rFonts w:asciiTheme="minorHAnsi" w:eastAsiaTheme="minorEastAsia" w:hAnsiTheme="minorHAnsi" w:cstheme="minorBidi"/>
              <w:noProof/>
              <w:kern w:val="2"/>
              <w:sz w:val="24"/>
              <w:szCs w:val="24"/>
              <w14:ligatures w14:val="standardContextual"/>
            </w:rPr>
          </w:pPr>
          <w:hyperlink w:anchor="_Toc159442589" w:history="1">
            <w:r w:rsidR="00032444" w:rsidRPr="00901372">
              <w:rPr>
                <w:rStyle w:val="Hipervnculo"/>
                <w:noProof/>
              </w:rPr>
              <w:t>3.1.2 Ministerio de Comercio Exterior (COMEX)</w:t>
            </w:r>
            <w:r w:rsidR="00032444">
              <w:rPr>
                <w:noProof/>
                <w:webHidden/>
              </w:rPr>
              <w:tab/>
            </w:r>
            <w:r w:rsidR="00032444">
              <w:rPr>
                <w:noProof/>
                <w:webHidden/>
              </w:rPr>
              <w:fldChar w:fldCharType="begin"/>
            </w:r>
            <w:r w:rsidR="00032444">
              <w:rPr>
                <w:noProof/>
                <w:webHidden/>
              </w:rPr>
              <w:instrText xml:space="preserve"> PAGEREF _Toc159442589 \h </w:instrText>
            </w:r>
            <w:r w:rsidR="00032444">
              <w:rPr>
                <w:noProof/>
                <w:webHidden/>
              </w:rPr>
            </w:r>
            <w:r w:rsidR="00032444">
              <w:rPr>
                <w:noProof/>
                <w:webHidden/>
              </w:rPr>
              <w:fldChar w:fldCharType="separate"/>
            </w:r>
            <w:r w:rsidR="00536A05">
              <w:rPr>
                <w:noProof/>
                <w:webHidden/>
              </w:rPr>
              <w:t>12</w:t>
            </w:r>
            <w:r w:rsidR="00032444">
              <w:rPr>
                <w:noProof/>
                <w:webHidden/>
              </w:rPr>
              <w:fldChar w:fldCharType="end"/>
            </w:r>
          </w:hyperlink>
        </w:p>
        <w:p w14:paraId="163567EE" w14:textId="5BFF0643" w:rsidR="00032444" w:rsidRDefault="00000000">
          <w:pPr>
            <w:pStyle w:val="TDC3"/>
            <w:tabs>
              <w:tab w:val="right" w:leader="dot" w:pos="8494"/>
            </w:tabs>
            <w:rPr>
              <w:rFonts w:asciiTheme="minorHAnsi" w:eastAsiaTheme="minorEastAsia" w:hAnsiTheme="minorHAnsi" w:cstheme="minorBidi"/>
              <w:noProof/>
              <w:kern w:val="2"/>
              <w:sz w:val="24"/>
              <w:szCs w:val="24"/>
              <w14:ligatures w14:val="standardContextual"/>
            </w:rPr>
          </w:pPr>
          <w:hyperlink w:anchor="_Toc159442590" w:history="1">
            <w:r w:rsidR="00032444" w:rsidRPr="00901372">
              <w:rPr>
                <w:rStyle w:val="Hipervnculo"/>
                <w:noProof/>
              </w:rPr>
              <w:t>3.1.3 Promotora de Comercio Exterior de Costa Rica (PROCOMER)</w:t>
            </w:r>
            <w:r w:rsidR="00032444">
              <w:rPr>
                <w:noProof/>
                <w:webHidden/>
              </w:rPr>
              <w:tab/>
            </w:r>
            <w:r w:rsidR="00032444">
              <w:rPr>
                <w:noProof/>
                <w:webHidden/>
              </w:rPr>
              <w:fldChar w:fldCharType="begin"/>
            </w:r>
            <w:r w:rsidR="00032444">
              <w:rPr>
                <w:noProof/>
                <w:webHidden/>
              </w:rPr>
              <w:instrText xml:space="preserve"> PAGEREF _Toc159442590 \h </w:instrText>
            </w:r>
            <w:r w:rsidR="00032444">
              <w:rPr>
                <w:noProof/>
                <w:webHidden/>
              </w:rPr>
            </w:r>
            <w:r w:rsidR="00032444">
              <w:rPr>
                <w:noProof/>
                <w:webHidden/>
              </w:rPr>
              <w:fldChar w:fldCharType="separate"/>
            </w:r>
            <w:r w:rsidR="00536A05">
              <w:rPr>
                <w:noProof/>
                <w:webHidden/>
              </w:rPr>
              <w:t>13</w:t>
            </w:r>
            <w:r w:rsidR="00032444">
              <w:rPr>
                <w:noProof/>
                <w:webHidden/>
              </w:rPr>
              <w:fldChar w:fldCharType="end"/>
            </w:r>
          </w:hyperlink>
        </w:p>
        <w:p w14:paraId="19E0C6EB" w14:textId="168A8BB8" w:rsidR="00032444" w:rsidRDefault="00000000">
          <w:pPr>
            <w:pStyle w:val="TDC2"/>
            <w:rPr>
              <w:rFonts w:asciiTheme="minorHAnsi" w:eastAsiaTheme="minorEastAsia" w:hAnsiTheme="minorHAnsi" w:cstheme="minorBidi"/>
              <w:noProof/>
              <w:kern w:val="2"/>
              <w:sz w:val="24"/>
              <w:szCs w:val="24"/>
              <w14:ligatures w14:val="standardContextual"/>
            </w:rPr>
          </w:pPr>
          <w:hyperlink w:anchor="_Toc159442591" w:history="1">
            <w:r w:rsidR="00032444" w:rsidRPr="00901372">
              <w:rPr>
                <w:rStyle w:val="Hipervnculo"/>
                <w:noProof/>
              </w:rPr>
              <w:t>3.2 Descripción de los requisitos nacionales en materia comercial</w:t>
            </w:r>
            <w:r w:rsidR="00032444">
              <w:rPr>
                <w:noProof/>
                <w:webHidden/>
              </w:rPr>
              <w:tab/>
            </w:r>
            <w:r w:rsidR="00032444">
              <w:rPr>
                <w:noProof/>
                <w:webHidden/>
              </w:rPr>
              <w:fldChar w:fldCharType="begin"/>
            </w:r>
            <w:r w:rsidR="00032444">
              <w:rPr>
                <w:noProof/>
                <w:webHidden/>
              </w:rPr>
              <w:instrText xml:space="preserve"> PAGEREF _Toc159442591 \h </w:instrText>
            </w:r>
            <w:r w:rsidR="00032444">
              <w:rPr>
                <w:noProof/>
                <w:webHidden/>
              </w:rPr>
            </w:r>
            <w:r w:rsidR="00032444">
              <w:rPr>
                <w:noProof/>
                <w:webHidden/>
              </w:rPr>
              <w:fldChar w:fldCharType="separate"/>
            </w:r>
            <w:r w:rsidR="00536A05">
              <w:rPr>
                <w:noProof/>
                <w:webHidden/>
              </w:rPr>
              <w:t>14</w:t>
            </w:r>
            <w:r w:rsidR="00032444">
              <w:rPr>
                <w:noProof/>
                <w:webHidden/>
              </w:rPr>
              <w:fldChar w:fldCharType="end"/>
            </w:r>
          </w:hyperlink>
        </w:p>
        <w:p w14:paraId="5F3BD459" w14:textId="68DB3259" w:rsidR="00032444" w:rsidRDefault="00000000">
          <w:pPr>
            <w:pStyle w:val="TDC3"/>
            <w:tabs>
              <w:tab w:val="right" w:leader="dot" w:pos="8494"/>
            </w:tabs>
            <w:rPr>
              <w:rFonts w:asciiTheme="minorHAnsi" w:eastAsiaTheme="minorEastAsia" w:hAnsiTheme="minorHAnsi" w:cstheme="minorBidi"/>
              <w:noProof/>
              <w:kern w:val="2"/>
              <w:sz w:val="24"/>
              <w:szCs w:val="24"/>
              <w14:ligatures w14:val="standardContextual"/>
            </w:rPr>
          </w:pPr>
          <w:hyperlink w:anchor="_Toc159442592" w:history="1">
            <w:r w:rsidR="00032444" w:rsidRPr="00901372">
              <w:rPr>
                <w:rStyle w:val="Hipervnculo"/>
                <w:noProof/>
              </w:rPr>
              <w:t>3.2.1 Requisitos para la comercialización en la escala nacional</w:t>
            </w:r>
            <w:r w:rsidR="00032444">
              <w:rPr>
                <w:noProof/>
                <w:webHidden/>
              </w:rPr>
              <w:tab/>
            </w:r>
            <w:r w:rsidR="00032444">
              <w:rPr>
                <w:noProof/>
                <w:webHidden/>
              </w:rPr>
              <w:fldChar w:fldCharType="begin"/>
            </w:r>
            <w:r w:rsidR="00032444">
              <w:rPr>
                <w:noProof/>
                <w:webHidden/>
              </w:rPr>
              <w:instrText xml:space="preserve"> PAGEREF _Toc159442592 \h </w:instrText>
            </w:r>
            <w:r w:rsidR="00032444">
              <w:rPr>
                <w:noProof/>
                <w:webHidden/>
              </w:rPr>
            </w:r>
            <w:r w:rsidR="00032444">
              <w:rPr>
                <w:noProof/>
                <w:webHidden/>
              </w:rPr>
              <w:fldChar w:fldCharType="separate"/>
            </w:r>
            <w:r w:rsidR="00536A05">
              <w:rPr>
                <w:noProof/>
                <w:webHidden/>
              </w:rPr>
              <w:t>14</w:t>
            </w:r>
            <w:r w:rsidR="00032444">
              <w:rPr>
                <w:noProof/>
                <w:webHidden/>
              </w:rPr>
              <w:fldChar w:fldCharType="end"/>
            </w:r>
          </w:hyperlink>
        </w:p>
        <w:p w14:paraId="154E5644" w14:textId="2030D598" w:rsidR="00032444" w:rsidRDefault="00000000">
          <w:pPr>
            <w:pStyle w:val="TDC3"/>
            <w:tabs>
              <w:tab w:val="right" w:leader="dot" w:pos="8494"/>
            </w:tabs>
            <w:rPr>
              <w:rFonts w:asciiTheme="minorHAnsi" w:eastAsiaTheme="minorEastAsia" w:hAnsiTheme="minorHAnsi" w:cstheme="minorBidi"/>
              <w:noProof/>
              <w:kern w:val="2"/>
              <w:sz w:val="24"/>
              <w:szCs w:val="24"/>
              <w14:ligatures w14:val="standardContextual"/>
            </w:rPr>
          </w:pPr>
          <w:hyperlink w:anchor="_Toc159442593" w:history="1">
            <w:r w:rsidR="00032444" w:rsidRPr="00901372">
              <w:rPr>
                <w:rStyle w:val="Hipervnculo"/>
                <w:noProof/>
              </w:rPr>
              <w:t>3.2.2 Requisitos para la comercialización internacional</w:t>
            </w:r>
            <w:r w:rsidR="00032444">
              <w:rPr>
                <w:noProof/>
                <w:webHidden/>
              </w:rPr>
              <w:tab/>
            </w:r>
            <w:r w:rsidR="00032444">
              <w:rPr>
                <w:noProof/>
                <w:webHidden/>
              </w:rPr>
              <w:fldChar w:fldCharType="begin"/>
            </w:r>
            <w:r w:rsidR="00032444">
              <w:rPr>
                <w:noProof/>
                <w:webHidden/>
              </w:rPr>
              <w:instrText xml:space="preserve"> PAGEREF _Toc159442593 \h </w:instrText>
            </w:r>
            <w:r w:rsidR="00032444">
              <w:rPr>
                <w:noProof/>
                <w:webHidden/>
              </w:rPr>
            </w:r>
            <w:r w:rsidR="00032444">
              <w:rPr>
                <w:noProof/>
                <w:webHidden/>
              </w:rPr>
              <w:fldChar w:fldCharType="separate"/>
            </w:r>
            <w:r w:rsidR="00536A05">
              <w:rPr>
                <w:noProof/>
                <w:webHidden/>
              </w:rPr>
              <w:t>16</w:t>
            </w:r>
            <w:r w:rsidR="00032444">
              <w:rPr>
                <w:noProof/>
                <w:webHidden/>
              </w:rPr>
              <w:fldChar w:fldCharType="end"/>
            </w:r>
          </w:hyperlink>
        </w:p>
        <w:p w14:paraId="795032CF" w14:textId="26CF8553" w:rsidR="00032444" w:rsidRDefault="00000000">
          <w:pPr>
            <w:pStyle w:val="TDC2"/>
            <w:rPr>
              <w:rFonts w:asciiTheme="minorHAnsi" w:eastAsiaTheme="minorEastAsia" w:hAnsiTheme="minorHAnsi" w:cstheme="minorBidi"/>
              <w:noProof/>
              <w:kern w:val="2"/>
              <w:sz w:val="24"/>
              <w:szCs w:val="24"/>
              <w14:ligatures w14:val="standardContextual"/>
            </w:rPr>
          </w:pPr>
          <w:hyperlink w:anchor="_Toc159442594" w:history="1">
            <w:r w:rsidR="00032444" w:rsidRPr="00901372">
              <w:rPr>
                <w:rStyle w:val="Hipervnculo"/>
                <w:noProof/>
              </w:rPr>
              <w:t>3.3 Aspectos relevantes de las estrategias nacionales de bioeconomía, economía circular y programa nacional de clúster</w:t>
            </w:r>
            <w:r w:rsidR="00032444">
              <w:rPr>
                <w:noProof/>
                <w:webHidden/>
              </w:rPr>
              <w:tab/>
            </w:r>
            <w:r w:rsidR="00032444">
              <w:rPr>
                <w:noProof/>
                <w:webHidden/>
              </w:rPr>
              <w:fldChar w:fldCharType="begin"/>
            </w:r>
            <w:r w:rsidR="00032444">
              <w:rPr>
                <w:noProof/>
                <w:webHidden/>
              </w:rPr>
              <w:instrText xml:space="preserve"> PAGEREF _Toc159442594 \h </w:instrText>
            </w:r>
            <w:r w:rsidR="00032444">
              <w:rPr>
                <w:noProof/>
                <w:webHidden/>
              </w:rPr>
            </w:r>
            <w:r w:rsidR="00032444">
              <w:rPr>
                <w:noProof/>
                <w:webHidden/>
              </w:rPr>
              <w:fldChar w:fldCharType="separate"/>
            </w:r>
            <w:r w:rsidR="00536A05">
              <w:rPr>
                <w:noProof/>
                <w:webHidden/>
              </w:rPr>
              <w:t>18</w:t>
            </w:r>
            <w:r w:rsidR="00032444">
              <w:rPr>
                <w:noProof/>
                <w:webHidden/>
              </w:rPr>
              <w:fldChar w:fldCharType="end"/>
            </w:r>
          </w:hyperlink>
        </w:p>
        <w:p w14:paraId="14BA33AD" w14:textId="721DB3AE" w:rsidR="00032444" w:rsidRDefault="00000000">
          <w:pPr>
            <w:pStyle w:val="TDC1"/>
            <w:tabs>
              <w:tab w:val="left" w:pos="440"/>
              <w:tab w:val="right" w:leader="dot" w:pos="8494"/>
            </w:tabs>
            <w:rPr>
              <w:rFonts w:asciiTheme="minorHAnsi" w:eastAsiaTheme="minorEastAsia" w:hAnsiTheme="minorHAnsi" w:cstheme="minorBidi"/>
              <w:noProof/>
              <w:kern w:val="2"/>
              <w:sz w:val="24"/>
              <w:szCs w:val="24"/>
              <w14:ligatures w14:val="standardContextual"/>
            </w:rPr>
          </w:pPr>
          <w:hyperlink w:anchor="_Toc159442595" w:history="1">
            <w:r w:rsidR="00032444" w:rsidRPr="00901372">
              <w:rPr>
                <w:rStyle w:val="Hipervnculo"/>
                <w:noProof/>
              </w:rPr>
              <w:t>4.</w:t>
            </w:r>
            <w:r w:rsidR="00032444">
              <w:rPr>
                <w:rFonts w:asciiTheme="minorHAnsi" w:eastAsiaTheme="minorEastAsia" w:hAnsiTheme="minorHAnsi" w:cstheme="minorBidi"/>
                <w:noProof/>
                <w:kern w:val="2"/>
                <w:sz w:val="24"/>
                <w:szCs w:val="24"/>
                <w14:ligatures w14:val="standardContextual"/>
              </w:rPr>
              <w:tab/>
            </w:r>
            <w:r w:rsidR="00032444" w:rsidRPr="00901372">
              <w:rPr>
                <w:rStyle w:val="Hipervnculo"/>
                <w:noProof/>
              </w:rPr>
              <w:t>Análisis e interpretación de datos y resultados</w:t>
            </w:r>
            <w:r w:rsidR="00032444">
              <w:rPr>
                <w:noProof/>
                <w:webHidden/>
              </w:rPr>
              <w:tab/>
            </w:r>
            <w:r w:rsidR="00032444">
              <w:rPr>
                <w:noProof/>
                <w:webHidden/>
              </w:rPr>
              <w:fldChar w:fldCharType="begin"/>
            </w:r>
            <w:r w:rsidR="00032444">
              <w:rPr>
                <w:noProof/>
                <w:webHidden/>
              </w:rPr>
              <w:instrText xml:space="preserve"> PAGEREF _Toc159442595 \h </w:instrText>
            </w:r>
            <w:r w:rsidR="00032444">
              <w:rPr>
                <w:noProof/>
                <w:webHidden/>
              </w:rPr>
            </w:r>
            <w:r w:rsidR="00032444">
              <w:rPr>
                <w:noProof/>
                <w:webHidden/>
              </w:rPr>
              <w:fldChar w:fldCharType="separate"/>
            </w:r>
            <w:r w:rsidR="00536A05">
              <w:rPr>
                <w:noProof/>
                <w:webHidden/>
              </w:rPr>
              <w:t>20</w:t>
            </w:r>
            <w:r w:rsidR="00032444">
              <w:rPr>
                <w:noProof/>
                <w:webHidden/>
              </w:rPr>
              <w:fldChar w:fldCharType="end"/>
            </w:r>
          </w:hyperlink>
        </w:p>
        <w:p w14:paraId="465D2CB8" w14:textId="3290DFEC" w:rsidR="00032444" w:rsidRDefault="00000000">
          <w:pPr>
            <w:pStyle w:val="TDC2"/>
            <w:rPr>
              <w:rFonts w:asciiTheme="minorHAnsi" w:eastAsiaTheme="minorEastAsia" w:hAnsiTheme="minorHAnsi" w:cstheme="minorBidi"/>
              <w:noProof/>
              <w:kern w:val="2"/>
              <w:sz w:val="24"/>
              <w:szCs w:val="24"/>
              <w14:ligatures w14:val="standardContextual"/>
            </w:rPr>
          </w:pPr>
          <w:hyperlink w:anchor="_Toc159442596" w:history="1">
            <w:r w:rsidR="00032444" w:rsidRPr="00901372">
              <w:rPr>
                <w:rStyle w:val="Hipervnculo"/>
                <w:noProof/>
              </w:rPr>
              <w:t>4.1 Oportunidades de mercado para los productos de madera de bosque secundario</w:t>
            </w:r>
            <w:r w:rsidR="00032444">
              <w:rPr>
                <w:noProof/>
                <w:webHidden/>
              </w:rPr>
              <w:tab/>
            </w:r>
            <w:r w:rsidR="00032444">
              <w:rPr>
                <w:noProof/>
                <w:webHidden/>
              </w:rPr>
              <w:fldChar w:fldCharType="begin"/>
            </w:r>
            <w:r w:rsidR="00032444">
              <w:rPr>
                <w:noProof/>
                <w:webHidden/>
              </w:rPr>
              <w:instrText xml:space="preserve"> PAGEREF _Toc159442596 \h </w:instrText>
            </w:r>
            <w:r w:rsidR="00032444">
              <w:rPr>
                <w:noProof/>
                <w:webHidden/>
              </w:rPr>
            </w:r>
            <w:r w:rsidR="00032444">
              <w:rPr>
                <w:noProof/>
                <w:webHidden/>
              </w:rPr>
              <w:fldChar w:fldCharType="separate"/>
            </w:r>
            <w:r w:rsidR="00536A05">
              <w:rPr>
                <w:noProof/>
                <w:webHidden/>
              </w:rPr>
              <w:t>20</w:t>
            </w:r>
            <w:r w:rsidR="00032444">
              <w:rPr>
                <w:noProof/>
                <w:webHidden/>
              </w:rPr>
              <w:fldChar w:fldCharType="end"/>
            </w:r>
          </w:hyperlink>
        </w:p>
        <w:p w14:paraId="7F896382" w14:textId="0648AEB5" w:rsidR="00032444" w:rsidRDefault="00000000">
          <w:pPr>
            <w:pStyle w:val="TDC2"/>
            <w:rPr>
              <w:rFonts w:asciiTheme="minorHAnsi" w:eastAsiaTheme="minorEastAsia" w:hAnsiTheme="minorHAnsi" w:cstheme="minorBidi"/>
              <w:noProof/>
              <w:kern w:val="2"/>
              <w:sz w:val="24"/>
              <w:szCs w:val="24"/>
              <w14:ligatures w14:val="standardContextual"/>
            </w:rPr>
          </w:pPr>
          <w:hyperlink w:anchor="_Toc159442597" w:history="1">
            <w:r w:rsidR="00032444" w:rsidRPr="00901372">
              <w:rPr>
                <w:rStyle w:val="Hipervnculo"/>
                <w:noProof/>
              </w:rPr>
              <w:t>4.2 Hoja de ruta con el MEIC</w:t>
            </w:r>
            <w:r w:rsidR="00032444">
              <w:rPr>
                <w:noProof/>
                <w:webHidden/>
              </w:rPr>
              <w:tab/>
            </w:r>
            <w:r w:rsidR="00032444">
              <w:rPr>
                <w:noProof/>
                <w:webHidden/>
              </w:rPr>
              <w:fldChar w:fldCharType="begin"/>
            </w:r>
            <w:r w:rsidR="00032444">
              <w:rPr>
                <w:noProof/>
                <w:webHidden/>
              </w:rPr>
              <w:instrText xml:space="preserve"> PAGEREF _Toc159442597 \h </w:instrText>
            </w:r>
            <w:r w:rsidR="00032444">
              <w:rPr>
                <w:noProof/>
                <w:webHidden/>
              </w:rPr>
            </w:r>
            <w:r w:rsidR="00032444">
              <w:rPr>
                <w:noProof/>
                <w:webHidden/>
              </w:rPr>
              <w:fldChar w:fldCharType="separate"/>
            </w:r>
            <w:r w:rsidR="00536A05">
              <w:rPr>
                <w:noProof/>
                <w:webHidden/>
              </w:rPr>
              <w:t>22</w:t>
            </w:r>
            <w:r w:rsidR="00032444">
              <w:rPr>
                <w:noProof/>
                <w:webHidden/>
              </w:rPr>
              <w:fldChar w:fldCharType="end"/>
            </w:r>
          </w:hyperlink>
        </w:p>
        <w:p w14:paraId="54BB7C2B" w14:textId="7432324D" w:rsidR="00032444" w:rsidRDefault="00000000">
          <w:pPr>
            <w:pStyle w:val="TDC2"/>
            <w:rPr>
              <w:rFonts w:asciiTheme="minorHAnsi" w:eastAsiaTheme="minorEastAsia" w:hAnsiTheme="minorHAnsi" w:cstheme="minorBidi"/>
              <w:noProof/>
              <w:kern w:val="2"/>
              <w:sz w:val="24"/>
              <w:szCs w:val="24"/>
              <w14:ligatures w14:val="standardContextual"/>
            </w:rPr>
          </w:pPr>
          <w:hyperlink w:anchor="_Toc159442598" w:history="1">
            <w:r w:rsidR="00032444" w:rsidRPr="00901372">
              <w:rPr>
                <w:rStyle w:val="Hipervnculo"/>
                <w:noProof/>
              </w:rPr>
              <w:t>4.2 Hoja de ruta con PROCOMER</w:t>
            </w:r>
            <w:r w:rsidR="00032444">
              <w:rPr>
                <w:noProof/>
                <w:webHidden/>
              </w:rPr>
              <w:tab/>
            </w:r>
            <w:r w:rsidR="00032444">
              <w:rPr>
                <w:noProof/>
                <w:webHidden/>
              </w:rPr>
              <w:fldChar w:fldCharType="begin"/>
            </w:r>
            <w:r w:rsidR="00032444">
              <w:rPr>
                <w:noProof/>
                <w:webHidden/>
              </w:rPr>
              <w:instrText xml:space="preserve"> PAGEREF _Toc159442598 \h </w:instrText>
            </w:r>
            <w:r w:rsidR="00032444">
              <w:rPr>
                <w:noProof/>
                <w:webHidden/>
              </w:rPr>
            </w:r>
            <w:r w:rsidR="00032444">
              <w:rPr>
                <w:noProof/>
                <w:webHidden/>
              </w:rPr>
              <w:fldChar w:fldCharType="separate"/>
            </w:r>
            <w:r w:rsidR="00536A05">
              <w:rPr>
                <w:noProof/>
                <w:webHidden/>
              </w:rPr>
              <w:t>24</w:t>
            </w:r>
            <w:r w:rsidR="00032444">
              <w:rPr>
                <w:noProof/>
                <w:webHidden/>
              </w:rPr>
              <w:fldChar w:fldCharType="end"/>
            </w:r>
          </w:hyperlink>
        </w:p>
        <w:p w14:paraId="379766E5" w14:textId="055B7E22" w:rsidR="00032444" w:rsidRDefault="00000000">
          <w:pPr>
            <w:pStyle w:val="TDC2"/>
            <w:rPr>
              <w:rFonts w:asciiTheme="minorHAnsi" w:eastAsiaTheme="minorEastAsia" w:hAnsiTheme="minorHAnsi" w:cstheme="minorBidi"/>
              <w:noProof/>
              <w:kern w:val="2"/>
              <w:sz w:val="24"/>
              <w:szCs w:val="24"/>
              <w14:ligatures w14:val="standardContextual"/>
            </w:rPr>
          </w:pPr>
          <w:hyperlink w:anchor="_Toc159442599" w:history="1">
            <w:r w:rsidR="00032444" w:rsidRPr="00901372">
              <w:rPr>
                <w:rStyle w:val="Hipervnculo"/>
                <w:noProof/>
              </w:rPr>
              <w:t>4.3 Propuesta de gestión interna de la CFMI para el seguimiento de las hojas de ruta</w:t>
            </w:r>
            <w:r w:rsidR="00032444">
              <w:rPr>
                <w:noProof/>
                <w:webHidden/>
              </w:rPr>
              <w:tab/>
            </w:r>
            <w:r w:rsidR="00032444">
              <w:rPr>
                <w:noProof/>
                <w:webHidden/>
              </w:rPr>
              <w:fldChar w:fldCharType="begin"/>
            </w:r>
            <w:r w:rsidR="00032444">
              <w:rPr>
                <w:noProof/>
                <w:webHidden/>
              </w:rPr>
              <w:instrText xml:space="preserve"> PAGEREF _Toc159442599 \h </w:instrText>
            </w:r>
            <w:r w:rsidR="00032444">
              <w:rPr>
                <w:noProof/>
                <w:webHidden/>
              </w:rPr>
            </w:r>
            <w:r w:rsidR="00032444">
              <w:rPr>
                <w:noProof/>
                <w:webHidden/>
              </w:rPr>
              <w:fldChar w:fldCharType="separate"/>
            </w:r>
            <w:r w:rsidR="00536A05">
              <w:rPr>
                <w:noProof/>
                <w:webHidden/>
              </w:rPr>
              <w:t>25</w:t>
            </w:r>
            <w:r w:rsidR="00032444">
              <w:rPr>
                <w:noProof/>
                <w:webHidden/>
              </w:rPr>
              <w:fldChar w:fldCharType="end"/>
            </w:r>
          </w:hyperlink>
        </w:p>
        <w:p w14:paraId="465340E6" w14:textId="3D7AC5CB" w:rsidR="00032444" w:rsidRDefault="00000000">
          <w:pPr>
            <w:pStyle w:val="TDC1"/>
            <w:tabs>
              <w:tab w:val="left" w:pos="440"/>
              <w:tab w:val="right" w:leader="dot" w:pos="8494"/>
            </w:tabs>
            <w:rPr>
              <w:rFonts w:asciiTheme="minorHAnsi" w:eastAsiaTheme="minorEastAsia" w:hAnsiTheme="minorHAnsi" w:cstheme="minorBidi"/>
              <w:noProof/>
              <w:kern w:val="2"/>
              <w:sz w:val="24"/>
              <w:szCs w:val="24"/>
              <w14:ligatures w14:val="standardContextual"/>
            </w:rPr>
          </w:pPr>
          <w:hyperlink w:anchor="_Toc159442600" w:history="1">
            <w:r w:rsidR="00032444" w:rsidRPr="00901372">
              <w:rPr>
                <w:rStyle w:val="Hipervnculo"/>
                <w:noProof/>
              </w:rPr>
              <w:t>5.</w:t>
            </w:r>
            <w:r w:rsidR="00032444">
              <w:rPr>
                <w:rFonts w:asciiTheme="minorHAnsi" w:eastAsiaTheme="minorEastAsia" w:hAnsiTheme="minorHAnsi" w:cstheme="minorBidi"/>
                <w:noProof/>
                <w:kern w:val="2"/>
                <w:sz w:val="24"/>
                <w:szCs w:val="24"/>
                <w14:ligatures w14:val="standardContextual"/>
              </w:rPr>
              <w:tab/>
            </w:r>
            <w:r w:rsidR="00032444" w:rsidRPr="00901372">
              <w:rPr>
                <w:rStyle w:val="Hipervnculo"/>
                <w:noProof/>
              </w:rPr>
              <w:t>Conclusiones</w:t>
            </w:r>
            <w:r w:rsidR="00032444">
              <w:rPr>
                <w:noProof/>
                <w:webHidden/>
              </w:rPr>
              <w:tab/>
            </w:r>
            <w:r w:rsidR="00032444">
              <w:rPr>
                <w:noProof/>
                <w:webHidden/>
              </w:rPr>
              <w:fldChar w:fldCharType="begin"/>
            </w:r>
            <w:r w:rsidR="00032444">
              <w:rPr>
                <w:noProof/>
                <w:webHidden/>
              </w:rPr>
              <w:instrText xml:space="preserve"> PAGEREF _Toc159442600 \h </w:instrText>
            </w:r>
            <w:r w:rsidR="00032444">
              <w:rPr>
                <w:noProof/>
                <w:webHidden/>
              </w:rPr>
            </w:r>
            <w:r w:rsidR="00032444">
              <w:rPr>
                <w:noProof/>
                <w:webHidden/>
              </w:rPr>
              <w:fldChar w:fldCharType="separate"/>
            </w:r>
            <w:r w:rsidR="00536A05">
              <w:rPr>
                <w:noProof/>
                <w:webHidden/>
              </w:rPr>
              <w:t>30</w:t>
            </w:r>
            <w:r w:rsidR="00032444">
              <w:rPr>
                <w:noProof/>
                <w:webHidden/>
              </w:rPr>
              <w:fldChar w:fldCharType="end"/>
            </w:r>
          </w:hyperlink>
        </w:p>
        <w:p w14:paraId="02ED8C01" w14:textId="1821AA44" w:rsidR="00032444" w:rsidRDefault="00000000">
          <w:pPr>
            <w:pStyle w:val="TDC1"/>
            <w:tabs>
              <w:tab w:val="left" w:pos="440"/>
              <w:tab w:val="right" w:leader="dot" w:pos="8494"/>
            </w:tabs>
            <w:rPr>
              <w:rFonts w:asciiTheme="minorHAnsi" w:eastAsiaTheme="minorEastAsia" w:hAnsiTheme="minorHAnsi" w:cstheme="minorBidi"/>
              <w:noProof/>
              <w:kern w:val="2"/>
              <w:sz w:val="24"/>
              <w:szCs w:val="24"/>
              <w14:ligatures w14:val="standardContextual"/>
            </w:rPr>
          </w:pPr>
          <w:hyperlink w:anchor="_Toc159442601" w:history="1">
            <w:r w:rsidR="00032444" w:rsidRPr="00901372">
              <w:rPr>
                <w:rStyle w:val="Hipervnculo"/>
                <w:noProof/>
              </w:rPr>
              <w:t>6.</w:t>
            </w:r>
            <w:r w:rsidR="00032444">
              <w:rPr>
                <w:rFonts w:asciiTheme="minorHAnsi" w:eastAsiaTheme="minorEastAsia" w:hAnsiTheme="minorHAnsi" w:cstheme="minorBidi"/>
                <w:noProof/>
                <w:kern w:val="2"/>
                <w:sz w:val="24"/>
                <w:szCs w:val="24"/>
                <w14:ligatures w14:val="standardContextual"/>
              </w:rPr>
              <w:tab/>
            </w:r>
            <w:r w:rsidR="00032444" w:rsidRPr="00901372">
              <w:rPr>
                <w:rStyle w:val="Hipervnculo"/>
                <w:noProof/>
              </w:rPr>
              <w:t>Recomendaciones</w:t>
            </w:r>
            <w:r w:rsidR="00032444">
              <w:rPr>
                <w:noProof/>
                <w:webHidden/>
              </w:rPr>
              <w:tab/>
            </w:r>
            <w:r w:rsidR="00032444">
              <w:rPr>
                <w:noProof/>
                <w:webHidden/>
              </w:rPr>
              <w:fldChar w:fldCharType="begin"/>
            </w:r>
            <w:r w:rsidR="00032444">
              <w:rPr>
                <w:noProof/>
                <w:webHidden/>
              </w:rPr>
              <w:instrText xml:space="preserve"> PAGEREF _Toc159442601 \h </w:instrText>
            </w:r>
            <w:r w:rsidR="00032444">
              <w:rPr>
                <w:noProof/>
                <w:webHidden/>
              </w:rPr>
            </w:r>
            <w:r w:rsidR="00032444">
              <w:rPr>
                <w:noProof/>
                <w:webHidden/>
              </w:rPr>
              <w:fldChar w:fldCharType="separate"/>
            </w:r>
            <w:r w:rsidR="00536A05">
              <w:rPr>
                <w:noProof/>
                <w:webHidden/>
              </w:rPr>
              <w:t>31</w:t>
            </w:r>
            <w:r w:rsidR="00032444">
              <w:rPr>
                <w:noProof/>
                <w:webHidden/>
              </w:rPr>
              <w:fldChar w:fldCharType="end"/>
            </w:r>
          </w:hyperlink>
        </w:p>
        <w:p w14:paraId="6E20AAAC" w14:textId="700AE9B4" w:rsidR="00032444" w:rsidRDefault="00000000">
          <w:pPr>
            <w:pStyle w:val="TDC1"/>
            <w:tabs>
              <w:tab w:val="left" w:pos="440"/>
              <w:tab w:val="right" w:leader="dot" w:pos="8494"/>
            </w:tabs>
            <w:rPr>
              <w:rFonts w:asciiTheme="minorHAnsi" w:eastAsiaTheme="minorEastAsia" w:hAnsiTheme="minorHAnsi" w:cstheme="minorBidi"/>
              <w:noProof/>
              <w:kern w:val="2"/>
              <w:sz w:val="24"/>
              <w:szCs w:val="24"/>
              <w14:ligatures w14:val="standardContextual"/>
            </w:rPr>
          </w:pPr>
          <w:hyperlink w:anchor="_Toc159442602" w:history="1">
            <w:r w:rsidR="00032444" w:rsidRPr="00901372">
              <w:rPr>
                <w:rStyle w:val="Hipervnculo"/>
                <w:noProof/>
              </w:rPr>
              <w:t>7.</w:t>
            </w:r>
            <w:r w:rsidR="00032444">
              <w:rPr>
                <w:rFonts w:asciiTheme="minorHAnsi" w:eastAsiaTheme="minorEastAsia" w:hAnsiTheme="minorHAnsi" w:cstheme="minorBidi"/>
                <w:noProof/>
                <w:kern w:val="2"/>
                <w:sz w:val="24"/>
                <w:szCs w:val="24"/>
                <w14:ligatures w14:val="standardContextual"/>
              </w:rPr>
              <w:tab/>
            </w:r>
            <w:r w:rsidR="00032444" w:rsidRPr="00901372">
              <w:rPr>
                <w:rStyle w:val="Hipervnculo"/>
                <w:noProof/>
              </w:rPr>
              <w:t>Repercusiones en la práctica</w:t>
            </w:r>
            <w:r w:rsidR="00032444">
              <w:rPr>
                <w:noProof/>
                <w:webHidden/>
              </w:rPr>
              <w:tab/>
            </w:r>
            <w:r w:rsidR="00032444">
              <w:rPr>
                <w:noProof/>
                <w:webHidden/>
              </w:rPr>
              <w:fldChar w:fldCharType="begin"/>
            </w:r>
            <w:r w:rsidR="00032444">
              <w:rPr>
                <w:noProof/>
                <w:webHidden/>
              </w:rPr>
              <w:instrText xml:space="preserve"> PAGEREF _Toc159442602 \h </w:instrText>
            </w:r>
            <w:r w:rsidR="00032444">
              <w:rPr>
                <w:noProof/>
                <w:webHidden/>
              </w:rPr>
            </w:r>
            <w:r w:rsidR="00032444">
              <w:rPr>
                <w:noProof/>
                <w:webHidden/>
              </w:rPr>
              <w:fldChar w:fldCharType="separate"/>
            </w:r>
            <w:r w:rsidR="00536A05">
              <w:rPr>
                <w:noProof/>
                <w:webHidden/>
              </w:rPr>
              <w:t>31</w:t>
            </w:r>
            <w:r w:rsidR="00032444">
              <w:rPr>
                <w:noProof/>
                <w:webHidden/>
              </w:rPr>
              <w:fldChar w:fldCharType="end"/>
            </w:r>
          </w:hyperlink>
        </w:p>
        <w:p w14:paraId="76407E0C" w14:textId="20FE5E11" w:rsidR="00032444" w:rsidRDefault="00000000">
          <w:pPr>
            <w:pStyle w:val="TDC1"/>
            <w:tabs>
              <w:tab w:val="left" w:pos="440"/>
              <w:tab w:val="right" w:leader="dot" w:pos="8494"/>
            </w:tabs>
            <w:rPr>
              <w:rFonts w:asciiTheme="minorHAnsi" w:eastAsiaTheme="minorEastAsia" w:hAnsiTheme="minorHAnsi" w:cstheme="minorBidi"/>
              <w:noProof/>
              <w:kern w:val="2"/>
              <w:sz w:val="24"/>
              <w:szCs w:val="24"/>
              <w14:ligatures w14:val="standardContextual"/>
            </w:rPr>
          </w:pPr>
          <w:hyperlink w:anchor="_Toc159442603" w:history="1">
            <w:r w:rsidR="00032444" w:rsidRPr="00901372">
              <w:rPr>
                <w:rStyle w:val="Hipervnculo"/>
                <w:noProof/>
              </w:rPr>
              <w:t>8.</w:t>
            </w:r>
            <w:r w:rsidR="00032444">
              <w:rPr>
                <w:rFonts w:asciiTheme="minorHAnsi" w:eastAsiaTheme="minorEastAsia" w:hAnsiTheme="minorHAnsi" w:cstheme="minorBidi"/>
                <w:noProof/>
                <w:kern w:val="2"/>
                <w:sz w:val="24"/>
                <w:szCs w:val="24"/>
                <w14:ligatures w14:val="standardContextual"/>
              </w:rPr>
              <w:tab/>
            </w:r>
            <w:r w:rsidR="00032444" w:rsidRPr="00901372">
              <w:rPr>
                <w:rStyle w:val="Hipervnculo"/>
                <w:noProof/>
              </w:rPr>
              <w:t>Anexos</w:t>
            </w:r>
            <w:r w:rsidR="00032444">
              <w:rPr>
                <w:noProof/>
                <w:webHidden/>
              </w:rPr>
              <w:tab/>
            </w:r>
            <w:r w:rsidR="00032444">
              <w:rPr>
                <w:noProof/>
                <w:webHidden/>
              </w:rPr>
              <w:fldChar w:fldCharType="begin"/>
            </w:r>
            <w:r w:rsidR="00032444">
              <w:rPr>
                <w:noProof/>
                <w:webHidden/>
              </w:rPr>
              <w:instrText xml:space="preserve"> PAGEREF _Toc159442603 \h </w:instrText>
            </w:r>
            <w:r w:rsidR="00032444">
              <w:rPr>
                <w:noProof/>
                <w:webHidden/>
              </w:rPr>
            </w:r>
            <w:r w:rsidR="00032444">
              <w:rPr>
                <w:noProof/>
                <w:webHidden/>
              </w:rPr>
              <w:fldChar w:fldCharType="separate"/>
            </w:r>
            <w:r w:rsidR="00536A05">
              <w:rPr>
                <w:noProof/>
                <w:webHidden/>
              </w:rPr>
              <w:t>32</w:t>
            </w:r>
            <w:r w:rsidR="00032444">
              <w:rPr>
                <w:noProof/>
                <w:webHidden/>
              </w:rPr>
              <w:fldChar w:fldCharType="end"/>
            </w:r>
          </w:hyperlink>
        </w:p>
        <w:p w14:paraId="233082FB" w14:textId="265BB803" w:rsidR="00032444" w:rsidRDefault="00000000">
          <w:pPr>
            <w:pStyle w:val="TDC1"/>
            <w:tabs>
              <w:tab w:val="left" w:pos="440"/>
              <w:tab w:val="right" w:leader="dot" w:pos="8494"/>
            </w:tabs>
            <w:rPr>
              <w:rFonts w:asciiTheme="minorHAnsi" w:eastAsiaTheme="minorEastAsia" w:hAnsiTheme="minorHAnsi" w:cstheme="minorBidi"/>
              <w:noProof/>
              <w:kern w:val="2"/>
              <w:sz w:val="24"/>
              <w:szCs w:val="24"/>
              <w14:ligatures w14:val="standardContextual"/>
            </w:rPr>
          </w:pPr>
          <w:hyperlink w:anchor="_Toc159442604" w:history="1">
            <w:r w:rsidR="00032444" w:rsidRPr="00901372">
              <w:rPr>
                <w:rStyle w:val="Hipervnculo"/>
                <w:noProof/>
              </w:rPr>
              <w:t>9.</w:t>
            </w:r>
            <w:r w:rsidR="00032444">
              <w:rPr>
                <w:rFonts w:asciiTheme="minorHAnsi" w:eastAsiaTheme="minorEastAsia" w:hAnsiTheme="minorHAnsi" w:cstheme="minorBidi"/>
                <w:noProof/>
                <w:kern w:val="2"/>
                <w:sz w:val="24"/>
                <w:szCs w:val="24"/>
                <w14:ligatures w14:val="standardContextual"/>
              </w:rPr>
              <w:tab/>
            </w:r>
            <w:r w:rsidR="00032444" w:rsidRPr="00901372">
              <w:rPr>
                <w:rStyle w:val="Hipervnculo"/>
                <w:noProof/>
              </w:rPr>
              <w:t>Referencias bibliográficas</w:t>
            </w:r>
            <w:r w:rsidR="00032444">
              <w:rPr>
                <w:noProof/>
                <w:webHidden/>
              </w:rPr>
              <w:tab/>
            </w:r>
            <w:r w:rsidR="00032444">
              <w:rPr>
                <w:noProof/>
                <w:webHidden/>
              </w:rPr>
              <w:fldChar w:fldCharType="begin"/>
            </w:r>
            <w:r w:rsidR="00032444">
              <w:rPr>
                <w:noProof/>
                <w:webHidden/>
              </w:rPr>
              <w:instrText xml:space="preserve"> PAGEREF _Toc159442604 \h </w:instrText>
            </w:r>
            <w:r w:rsidR="00032444">
              <w:rPr>
                <w:noProof/>
                <w:webHidden/>
              </w:rPr>
            </w:r>
            <w:r w:rsidR="00032444">
              <w:rPr>
                <w:noProof/>
                <w:webHidden/>
              </w:rPr>
              <w:fldChar w:fldCharType="separate"/>
            </w:r>
            <w:r w:rsidR="00536A05">
              <w:rPr>
                <w:noProof/>
                <w:webHidden/>
              </w:rPr>
              <w:t>34</w:t>
            </w:r>
            <w:r w:rsidR="00032444">
              <w:rPr>
                <w:noProof/>
                <w:webHidden/>
              </w:rPr>
              <w:fldChar w:fldCharType="end"/>
            </w:r>
          </w:hyperlink>
        </w:p>
        <w:p w14:paraId="4B0FA031" w14:textId="171D8AF6" w:rsidR="00AE6DC1" w:rsidRDefault="00032444">
          <w:r>
            <w:fldChar w:fldCharType="end"/>
          </w:r>
        </w:p>
      </w:sdtContent>
    </w:sdt>
    <w:p w14:paraId="37E372DA" w14:textId="5C5486B8" w:rsidR="00AE6DC1" w:rsidRDefault="00AE6DC1">
      <w:pPr>
        <w:spacing w:line="259" w:lineRule="auto"/>
        <w:rPr>
          <w:rFonts w:ascii="Arial" w:eastAsia="Arial" w:hAnsi="Arial" w:cs="Arial"/>
          <w:bCs/>
          <w:iCs/>
          <w:sz w:val="24"/>
          <w:szCs w:val="24"/>
        </w:rPr>
      </w:pPr>
      <w:r>
        <w:rPr>
          <w:rFonts w:ascii="Arial" w:eastAsia="Arial" w:hAnsi="Arial" w:cs="Arial"/>
          <w:bCs/>
          <w:iCs/>
          <w:sz w:val="24"/>
          <w:szCs w:val="24"/>
        </w:rPr>
        <w:br w:type="page"/>
      </w:r>
    </w:p>
    <w:p w14:paraId="77F19922" w14:textId="77777777" w:rsidR="00AE6DC1" w:rsidRPr="00AE6DC1" w:rsidRDefault="00AE6DC1" w:rsidP="00AE6DC1">
      <w:pPr>
        <w:pStyle w:val="Ttulo1"/>
      </w:pPr>
      <w:bookmarkStart w:id="0" w:name="_Toc157684670"/>
      <w:bookmarkStart w:id="1" w:name="_Toc159442576"/>
      <w:r w:rsidRPr="00AE6DC1">
        <w:lastRenderedPageBreak/>
        <w:t>Acrónimos</w:t>
      </w:r>
      <w:bookmarkEnd w:id="0"/>
      <w:bookmarkEnd w:id="1"/>
    </w:p>
    <w:p w14:paraId="569D7D3E" w14:textId="77777777" w:rsidR="005B6439" w:rsidRPr="00A224CC" w:rsidRDefault="005B6439" w:rsidP="005B6439">
      <w:pPr>
        <w:spacing w:after="0" w:line="240" w:lineRule="auto"/>
        <w:rPr>
          <w:rFonts w:asciiTheme="minorHAnsi" w:hAnsiTheme="minorHAnsi" w:cstheme="minorHAnsi"/>
        </w:rPr>
      </w:pPr>
      <w:r w:rsidRPr="00A224CC">
        <w:rPr>
          <w:rFonts w:asciiTheme="minorHAnsi" w:hAnsiTheme="minorHAnsi" w:cstheme="minorHAnsi"/>
          <w:b/>
          <w:bCs/>
        </w:rPr>
        <w:t xml:space="preserve">BCCR: </w:t>
      </w:r>
      <w:r w:rsidRPr="00A224CC">
        <w:rPr>
          <w:rFonts w:asciiTheme="minorHAnsi" w:hAnsiTheme="minorHAnsi" w:cstheme="minorHAnsi"/>
        </w:rPr>
        <w:t>Banco Central de Costa Rica</w:t>
      </w:r>
    </w:p>
    <w:p w14:paraId="72DA8677" w14:textId="77777777" w:rsidR="005B6439" w:rsidRPr="00C06789" w:rsidRDefault="005B6439" w:rsidP="005B6439">
      <w:pPr>
        <w:spacing w:after="0" w:line="240" w:lineRule="auto"/>
        <w:rPr>
          <w:rFonts w:asciiTheme="minorHAnsi" w:hAnsiTheme="minorHAnsi" w:cstheme="minorHAnsi"/>
        </w:rPr>
      </w:pPr>
      <w:r w:rsidRPr="00C06789">
        <w:rPr>
          <w:rFonts w:asciiTheme="minorHAnsi" w:hAnsiTheme="minorHAnsi" w:cstheme="minorHAnsi"/>
          <w:b/>
          <w:bCs/>
        </w:rPr>
        <w:t xml:space="preserve">CACR: </w:t>
      </w:r>
      <w:r w:rsidRPr="00C06789">
        <w:rPr>
          <w:rFonts w:asciiTheme="minorHAnsi" w:hAnsiTheme="minorHAnsi" w:cstheme="minorHAnsi"/>
        </w:rPr>
        <w:t>Colegio de Ingenieros y Arquitectos</w:t>
      </w:r>
    </w:p>
    <w:p w14:paraId="4465865B" w14:textId="77777777" w:rsidR="005B6439" w:rsidRPr="00C06789" w:rsidRDefault="005B6439" w:rsidP="005B6439">
      <w:pPr>
        <w:spacing w:after="0" w:line="240" w:lineRule="auto"/>
        <w:rPr>
          <w:rFonts w:asciiTheme="minorHAnsi" w:hAnsiTheme="minorHAnsi" w:cstheme="minorHAnsi"/>
        </w:rPr>
      </w:pPr>
      <w:r w:rsidRPr="00C06789">
        <w:rPr>
          <w:rFonts w:asciiTheme="minorHAnsi" w:hAnsiTheme="minorHAnsi" w:cstheme="minorHAnsi"/>
          <w:b/>
          <w:bCs/>
        </w:rPr>
        <w:t xml:space="preserve">CCSS: </w:t>
      </w:r>
      <w:r w:rsidRPr="00C06789">
        <w:rPr>
          <w:rFonts w:asciiTheme="minorHAnsi" w:hAnsiTheme="minorHAnsi" w:cstheme="minorHAnsi"/>
        </w:rPr>
        <w:t>Caja Costarricense de Seguro Social</w:t>
      </w:r>
    </w:p>
    <w:p w14:paraId="5FCFD028" w14:textId="3D5B4C0A" w:rsidR="005B6439" w:rsidRPr="005B6439" w:rsidRDefault="005B6439" w:rsidP="005B6439">
      <w:pPr>
        <w:spacing w:after="0" w:line="240" w:lineRule="auto"/>
        <w:rPr>
          <w:rFonts w:asciiTheme="minorHAnsi" w:hAnsiTheme="minorHAnsi" w:cstheme="minorHAnsi"/>
        </w:rPr>
      </w:pPr>
      <w:r>
        <w:rPr>
          <w:rFonts w:asciiTheme="minorHAnsi" w:hAnsiTheme="minorHAnsi" w:cstheme="minorHAnsi"/>
          <w:b/>
          <w:bCs/>
        </w:rPr>
        <w:t xml:space="preserve">CENPRO: </w:t>
      </w:r>
      <w:r w:rsidRPr="005B6439">
        <w:rPr>
          <w:rFonts w:asciiTheme="minorHAnsi" w:hAnsiTheme="minorHAnsi" w:cstheme="minorHAnsi"/>
        </w:rPr>
        <w:t xml:space="preserve">Centro para la Promoción de Exportaciones e Inversiones </w:t>
      </w:r>
    </w:p>
    <w:p w14:paraId="05E0261B" w14:textId="1546FFCB" w:rsidR="005B6439" w:rsidRPr="00536A05" w:rsidRDefault="005B6439" w:rsidP="005B6439">
      <w:pPr>
        <w:spacing w:after="0" w:line="240" w:lineRule="auto"/>
        <w:rPr>
          <w:rFonts w:asciiTheme="minorHAnsi" w:hAnsiTheme="minorHAnsi" w:cstheme="minorHAnsi"/>
          <w:b/>
          <w:bCs/>
          <w:lang w:val="pt-BR"/>
        </w:rPr>
      </w:pPr>
      <w:r w:rsidRPr="00536A05">
        <w:rPr>
          <w:rFonts w:asciiTheme="minorHAnsi" w:hAnsiTheme="minorHAnsi" w:cstheme="minorHAnsi"/>
          <w:b/>
          <w:bCs/>
          <w:lang w:val="pt-BR"/>
        </w:rPr>
        <w:t xml:space="preserve">CFIA: </w:t>
      </w:r>
      <w:r w:rsidRPr="00536A05">
        <w:rPr>
          <w:rFonts w:asciiTheme="minorHAnsi" w:hAnsiTheme="minorHAnsi" w:cstheme="minorHAnsi"/>
          <w:lang w:val="pt-BR"/>
        </w:rPr>
        <w:t>Colegio Federado de Ingenieros y Arquitectos</w:t>
      </w:r>
    </w:p>
    <w:p w14:paraId="658FB51E" w14:textId="77777777" w:rsidR="005B6439" w:rsidRPr="005B6439" w:rsidRDefault="005B6439" w:rsidP="005B6439">
      <w:pPr>
        <w:spacing w:after="0" w:line="240" w:lineRule="auto"/>
        <w:rPr>
          <w:rFonts w:asciiTheme="minorHAnsi" w:hAnsiTheme="minorHAnsi" w:cstheme="minorHAnsi"/>
          <w:b/>
          <w:bCs/>
          <w:lang w:val="pt-BR"/>
        </w:rPr>
      </w:pPr>
      <w:r w:rsidRPr="005B6439">
        <w:rPr>
          <w:rFonts w:asciiTheme="minorHAnsi" w:hAnsiTheme="minorHAnsi" w:cstheme="minorHAnsi"/>
          <w:b/>
          <w:bCs/>
          <w:lang w:val="pt-BR"/>
        </w:rPr>
        <w:t xml:space="preserve">COVID: </w:t>
      </w:r>
      <w:r w:rsidRPr="005B6439">
        <w:rPr>
          <w:rFonts w:asciiTheme="minorHAnsi" w:hAnsiTheme="minorHAnsi" w:cstheme="minorHAnsi"/>
          <w:lang w:val="pt-BR"/>
        </w:rPr>
        <w:t>Coronavirus SARS-CoV-2</w:t>
      </w:r>
    </w:p>
    <w:p w14:paraId="33D92681" w14:textId="0D677719" w:rsidR="005B6439" w:rsidRPr="005B6439" w:rsidRDefault="005B6439" w:rsidP="005B6439">
      <w:pPr>
        <w:spacing w:after="0" w:line="240" w:lineRule="auto"/>
        <w:rPr>
          <w:rFonts w:asciiTheme="minorHAnsi" w:hAnsiTheme="minorHAnsi" w:cstheme="minorHAnsi"/>
          <w:lang w:val="pt-BR"/>
        </w:rPr>
      </w:pPr>
      <w:r w:rsidRPr="005B6439">
        <w:rPr>
          <w:rFonts w:asciiTheme="minorHAnsi" w:hAnsiTheme="minorHAnsi" w:cstheme="minorHAnsi"/>
          <w:b/>
          <w:bCs/>
          <w:lang w:val="pt-BR"/>
        </w:rPr>
        <w:t xml:space="preserve">COMEX: </w:t>
      </w:r>
      <w:r w:rsidRPr="005B6439">
        <w:rPr>
          <w:rFonts w:asciiTheme="minorHAnsi" w:hAnsiTheme="minorHAnsi" w:cstheme="minorHAnsi"/>
          <w:lang w:val="pt-BR"/>
        </w:rPr>
        <w:t>Ministerio de Comercio E</w:t>
      </w:r>
      <w:r>
        <w:rPr>
          <w:rFonts w:asciiTheme="minorHAnsi" w:hAnsiTheme="minorHAnsi" w:cstheme="minorHAnsi"/>
          <w:lang w:val="pt-BR"/>
        </w:rPr>
        <w:t>xterior</w:t>
      </w:r>
    </w:p>
    <w:p w14:paraId="55241DDC" w14:textId="7D189A01" w:rsidR="005B6439" w:rsidRPr="00536A05" w:rsidRDefault="005B6439" w:rsidP="005B6439">
      <w:pPr>
        <w:spacing w:after="0" w:line="240" w:lineRule="auto"/>
        <w:rPr>
          <w:rFonts w:asciiTheme="minorHAnsi" w:hAnsiTheme="minorHAnsi" w:cstheme="minorHAnsi"/>
          <w:lang w:val="pt-BR"/>
        </w:rPr>
      </w:pPr>
      <w:r w:rsidRPr="00536A05">
        <w:rPr>
          <w:rFonts w:asciiTheme="minorHAnsi" w:hAnsiTheme="minorHAnsi" w:cstheme="minorHAnsi"/>
          <w:b/>
          <w:bCs/>
          <w:lang w:val="pt-BR"/>
        </w:rPr>
        <w:t xml:space="preserve">CRM: </w:t>
      </w:r>
      <w:r w:rsidRPr="00536A05">
        <w:rPr>
          <w:rFonts w:asciiTheme="minorHAnsi" w:hAnsiTheme="minorHAnsi" w:cstheme="minorHAnsi"/>
          <w:lang w:val="pt-BR"/>
        </w:rPr>
        <w:t>Customer Relationship Management</w:t>
      </w:r>
    </w:p>
    <w:p w14:paraId="659A5238" w14:textId="77777777" w:rsidR="005B6439" w:rsidRPr="00C06789" w:rsidRDefault="005B6439" w:rsidP="005B6439">
      <w:pPr>
        <w:spacing w:after="0" w:line="240" w:lineRule="auto"/>
        <w:rPr>
          <w:rFonts w:asciiTheme="minorHAnsi" w:hAnsiTheme="minorHAnsi" w:cstheme="minorHAnsi"/>
          <w:lang w:val="pt-BR"/>
        </w:rPr>
      </w:pPr>
      <w:r w:rsidRPr="00C06789">
        <w:rPr>
          <w:rFonts w:asciiTheme="minorHAnsi" w:hAnsiTheme="minorHAnsi" w:cstheme="minorHAnsi"/>
          <w:b/>
          <w:bCs/>
          <w:lang w:val="pt-BR"/>
        </w:rPr>
        <w:t>CFMI:</w:t>
      </w:r>
      <w:r w:rsidRPr="00C06789">
        <w:rPr>
          <w:rFonts w:asciiTheme="minorHAnsi" w:hAnsiTheme="minorHAnsi" w:cstheme="minorHAnsi"/>
          <w:lang w:val="pt-BR"/>
        </w:rPr>
        <w:t xml:space="preserve"> Cámara Forestal Madera e Industria</w:t>
      </w:r>
    </w:p>
    <w:p w14:paraId="63D6A25E" w14:textId="77777777" w:rsidR="005B6439" w:rsidRPr="00C06789" w:rsidRDefault="005B6439" w:rsidP="005B6439">
      <w:pPr>
        <w:spacing w:after="0" w:line="240" w:lineRule="auto"/>
        <w:rPr>
          <w:rFonts w:asciiTheme="minorHAnsi" w:hAnsiTheme="minorHAnsi" w:cstheme="minorHAnsi"/>
        </w:rPr>
      </w:pPr>
      <w:r w:rsidRPr="00C06789">
        <w:rPr>
          <w:rFonts w:asciiTheme="minorHAnsi" w:hAnsiTheme="minorHAnsi" w:cstheme="minorHAnsi"/>
          <w:b/>
          <w:bCs/>
        </w:rPr>
        <w:t>FONAFIFO:</w:t>
      </w:r>
      <w:r w:rsidRPr="00C06789">
        <w:rPr>
          <w:rFonts w:asciiTheme="minorHAnsi" w:hAnsiTheme="minorHAnsi" w:cstheme="minorHAnsi"/>
        </w:rPr>
        <w:t xml:space="preserve"> Fondo Nacional de Financiamiento Forestal</w:t>
      </w:r>
    </w:p>
    <w:p w14:paraId="3C1FD4C7" w14:textId="77777777" w:rsidR="005B6439" w:rsidRPr="00C06789" w:rsidRDefault="005B6439" w:rsidP="005B6439">
      <w:pPr>
        <w:spacing w:after="0" w:line="240" w:lineRule="auto"/>
        <w:rPr>
          <w:rFonts w:asciiTheme="minorHAnsi" w:hAnsiTheme="minorHAnsi" w:cstheme="minorHAnsi"/>
        </w:rPr>
      </w:pPr>
      <w:r w:rsidRPr="00C06789">
        <w:rPr>
          <w:rFonts w:asciiTheme="minorHAnsi" w:hAnsiTheme="minorHAnsi" w:cstheme="minorHAnsi"/>
          <w:b/>
          <w:bCs/>
        </w:rPr>
        <w:t>Ha:</w:t>
      </w:r>
      <w:r w:rsidRPr="00C06789">
        <w:rPr>
          <w:rFonts w:asciiTheme="minorHAnsi" w:hAnsiTheme="minorHAnsi" w:cstheme="minorHAnsi"/>
        </w:rPr>
        <w:t xml:space="preserve"> Unidad de medición correspondiente a hectáreas (10.000 m2)</w:t>
      </w:r>
    </w:p>
    <w:p w14:paraId="2C32ADF6" w14:textId="77777777" w:rsidR="005B6439" w:rsidRPr="00A224CC" w:rsidRDefault="005B6439" w:rsidP="005B6439">
      <w:pPr>
        <w:spacing w:after="0" w:line="240" w:lineRule="auto"/>
        <w:rPr>
          <w:rFonts w:asciiTheme="minorHAnsi" w:hAnsiTheme="minorHAnsi" w:cstheme="minorHAnsi"/>
          <w:b/>
          <w:bCs/>
        </w:rPr>
      </w:pPr>
      <w:r w:rsidRPr="00A224CC">
        <w:rPr>
          <w:rFonts w:asciiTheme="minorHAnsi" w:hAnsiTheme="minorHAnsi" w:cstheme="minorHAnsi"/>
          <w:b/>
          <w:bCs/>
        </w:rPr>
        <w:t xml:space="preserve">INA: </w:t>
      </w:r>
      <w:r w:rsidRPr="00A224CC">
        <w:rPr>
          <w:rFonts w:asciiTheme="minorHAnsi" w:hAnsiTheme="minorHAnsi" w:cstheme="minorHAnsi"/>
        </w:rPr>
        <w:t>Instituto Nacional de Aprendizaje</w:t>
      </w:r>
    </w:p>
    <w:p w14:paraId="2F487DC6" w14:textId="77777777" w:rsidR="005B6439" w:rsidRPr="00A224CC" w:rsidRDefault="005B6439" w:rsidP="005B6439">
      <w:pPr>
        <w:spacing w:after="0" w:line="240" w:lineRule="auto"/>
        <w:rPr>
          <w:rFonts w:asciiTheme="minorHAnsi" w:hAnsiTheme="minorHAnsi" w:cstheme="minorHAnsi"/>
          <w:b/>
          <w:bCs/>
        </w:rPr>
      </w:pPr>
      <w:r w:rsidRPr="00A224CC">
        <w:rPr>
          <w:rFonts w:asciiTheme="minorHAnsi" w:hAnsiTheme="minorHAnsi" w:cstheme="minorHAnsi"/>
          <w:b/>
          <w:bCs/>
        </w:rPr>
        <w:t xml:space="preserve">ICOMADERA: </w:t>
      </w:r>
      <w:r w:rsidRPr="00A224CC">
        <w:rPr>
          <w:rFonts w:asciiTheme="minorHAnsi" w:hAnsiTheme="minorHAnsi" w:cstheme="minorHAnsi"/>
        </w:rPr>
        <w:t>Instituto Costarricense de la Madera</w:t>
      </w:r>
    </w:p>
    <w:p w14:paraId="0B0DF2BE" w14:textId="77777777" w:rsidR="005B6439" w:rsidRPr="00A224CC" w:rsidRDefault="005B6439" w:rsidP="005B6439">
      <w:pPr>
        <w:spacing w:after="0" w:line="240" w:lineRule="auto"/>
        <w:rPr>
          <w:rFonts w:asciiTheme="minorHAnsi" w:hAnsiTheme="minorHAnsi" w:cstheme="minorHAnsi"/>
          <w:b/>
          <w:bCs/>
        </w:rPr>
      </w:pPr>
      <w:r w:rsidRPr="00A224CC">
        <w:rPr>
          <w:rFonts w:asciiTheme="minorHAnsi" w:hAnsiTheme="minorHAnsi" w:cstheme="minorHAnsi"/>
          <w:b/>
          <w:bCs/>
        </w:rPr>
        <w:t xml:space="preserve">ICT: </w:t>
      </w:r>
      <w:r w:rsidRPr="00A224CC">
        <w:rPr>
          <w:rFonts w:asciiTheme="minorHAnsi" w:hAnsiTheme="minorHAnsi" w:cstheme="minorHAnsi"/>
        </w:rPr>
        <w:t>Instituto Costarricense de Turismo</w:t>
      </w:r>
    </w:p>
    <w:p w14:paraId="31262663" w14:textId="77777777" w:rsidR="005B6439" w:rsidRPr="00A224CC" w:rsidRDefault="005B6439" w:rsidP="005B6439">
      <w:pPr>
        <w:spacing w:after="0" w:line="240" w:lineRule="auto"/>
        <w:rPr>
          <w:rFonts w:asciiTheme="minorHAnsi" w:hAnsiTheme="minorHAnsi" w:cstheme="minorHAnsi"/>
          <w:b/>
          <w:bCs/>
        </w:rPr>
      </w:pPr>
      <w:r w:rsidRPr="00A224CC">
        <w:rPr>
          <w:rFonts w:asciiTheme="minorHAnsi" w:hAnsiTheme="minorHAnsi" w:cstheme="minorHAnsi"/>
          <w:b/>
          <w:bCs/>
        </w:rPr>
        <w:t xml:space="preserve">INEC: </w:t>
      </w:r>
      <w:r w:rsidRPr="00A224CC">
        <w:rPr>
          <w:rFonts w:asciiTheme="minorHAnsi" w:hAnsiTheme="minorHAnsi" w:cstheme="minorHAnsi"/>
        </w:rPr>
        <w:t>Instituto Nacional de Estadística y Censo</w:t>
      </w:r>
    </w:p>
    <w:p w14:paraId="7FE08485" w14:textId="18D4AF7E" w:rsidR="005B6439" w:rsidRDefault="005B6439" w:rsidP="005B6439">
      <w:pPr>
        <w:spacing w:after="0" w:line="240" w:lineRule="auto"/>
        <w:rPr>
          <w:rFonts w:asciiTheme="minorHAnsi" w:hAnsiTheme="minorHAnsi" w:cstheme="minorHAnsi"/>
          <w:b/>
          <w:bCs/>
        </w:rPr>
      </w:pPr>
      <w:r>
        <w:rPr>
          <w:rFonts w:asciiTheme="minorHAnsi" w:hAnsiTheme="minorHAnsi" w:cstheme="minorHAnsi"/>
          <w:b/>
          <w:bCs/>
        </w:rPr>
        <w:t xml:space="preserve">IVA: </w:t>
      </w:r>
      <w:r w:rsidRPr="005B6439">
        <w:rPr>
          <w:rFonts w:asciiTheme="minorHAnsi" w:hAnsiTheme="minorHAnsi" w:cstheme="minorHAnsi"/>
        </w:rPr>
        <w:t xml:space="preserve">Impuesto </w:t>
      </w:r>
      <w:r>
        <w:rPr>
          <w:rFonts w:asciiTheme="minorHAnsi" w:hAnsiTheme="minorHAnsi" w:cstheme="minorHAnsi"/>
        </w:rPr>
        <w:t>sobre el</w:t>
      </w:r>
      <w:r w:rsidRPr="005B6439">
        <w:rPr>
          <w:rFonts w:asciiTheme="minorHAnsi" w:hAnsiTheme="minorHAnsi" w:cstheme="minorHAnsi"/>
        </w:rPr>
        <w:t xml:space="preserve"> Valor Agregado</w:t>
      </w:r>
    </w:p>
    <w:p w14:paraId="1F9B62C2" w14:textId="56A7D699" w:rsidR="005B6439" w:rsidRPr="00A224CC" w:rsidRDefault="005B6439" w:rsidP="005B6439">
      <w:pPr>
        <w:spacing w:after="0" w:line="240" w:lineRule="auto"/>
        <w:rPr>
          <w:rFonts w:asciiTheme="minorHAnsi" w:hAnsiTheme="minorHAnsi" w:cstheme="minorHAnsi"/>
          <w:b/>
          <w:bCs/>
        </w:rPr>
      </w:pPr>
      <w:r w:rsidRPr="00A224CC">
        <w:rPr>
          <w:rFonts w:asciiTheme="minorHAnsi" w:hAnsiTheme="minorHAnsi" w:cstheme="minorHAnsi"/>
          <w:b/>
          <w:bCs/>
        </w:rPr>
        <w:t xml:space="preserve">Kg: </w:t>
      </w:r>
      <w:r w:rsidRPr="00A224CC">
        <w:rPr>
          <w:rFonts w:asciiTheme="minorHAnsi" w:hAnsiTheme="minorHAnsi" w:cstheme="minorHAnsi"/>
        </w:rPr>
        <w:t>Kilogramo</w:t>
      </w:r>
    </w:p>
    <w:p w14:paraId="27286832" w14:textId="77777777" w:rsidR="005B6439" w:rsidRPr="00A224CC" w:rsidRDefault="005B6439" w:rsidP="005B6439">
      <w:pPr>
        <w:spacing w:after="0" w:line="240" w:lineRule="auto"/>
        <w:rPr>
          <w:rFonts w:asciiTheme="minorHAnsi" w:hAnsiTheme="minorHAnsi" w:cstheme="minorHAnsi"/>
          <w:b/>
          <w:bCs/>
        </w:rPr>
      </w:pPr>
      <w:r w:rsidRPr="00A224CC">
        <w:rPr>
          <w:rFonts w:asciiTheme="minorHAnsi" w:hAnsiTheme="minorHAnsi" w:cstheme="minorHAnsi"/>
          <w:b/>
          <w:bCs/>
        </w:rPr>
        <w:t xml:space="preserve">Kj: </w:t>
      </w:r>
      <w:r w:rsidRPr="00A224CC">
        <w:rPr>
          <w:rFonts w:asciiTheme="minorHAnsi" w:hAnsiTheme="minorHAnsi" w:cstheme="minorHAnsi"/>
        </w:rPr>
        <w:t>Kilojulio</w:t>
      </w:r>
    </w:p>
    <w:p w14:paraId="54321716" w14:textId="77777777" w:rsidR="005B6439" w:rsidRPr="00A224CC" w:rsidRDefault="005B6439" w:rsidP="005B6439">
      <w:pPr>
        <w:spacing w:after="0" w:line="240" w:lineRule="auto"/>
        <w:rPr>
          <w:rFonts w:asciiTheme="minorHAnsi" w:hAnsiTheme="minorHAnsi" w:cstheme="minorHAnsi"/>
        </w:rPr>
      </w:pPr>
      <w:r w:rsidRPr="00A224CC">
        <w:rPr>
          <w:rFonts w:asciiTheme="minorHAnsi" w:hAnsiTheme="minorHAnsi" w:cstheme="minorHAnsi"/>
          <w:b/>
          <w:bCs/>
        </w:rPr>
        <w:t>m</w:t>
      </w:r>
      <w:r w:rsidRPr="00A224CC">
        <w:rPr>
          <w:rFonts w:asciiTheme="minorHAnsi" w:hAnsiTheme="minorHAnsi" w:cstheme="minorHAnsi"/>
          <w:b/>
          <w:bCs/>
          <w:vertAlign w:val="superscript"/>
        </w:rPr>
        <w:t>3</w:t>
      </w:r>
      <w:r w:rsidRPr="00A224CC">
        <w:rPr>
          <w:rFonts w:asciiTheme="minorHAnsi" w:hAnsiTheme="minorHAnsi" w:cstheme="minorHAnsi"/>
          <w:b/>
          <w:bCs/>
        </w:rPr>
        <w:t>:</w:t>
      </w:r>
      <w:r w:rsidRPr="00A224CC">
        <w:rPr>
          <w:rFonts w:asciiTheme="minorHAnsi" w:hAnsiTheme="minorHAnsi" w:cstheme="minorHAnsi"/>
        </w:rPr>
        <w:t xml:space="preserve"> metro cúbico</w:t>
      </w:r>
    </w:p>
    <w:p w14:paraId="20AC876D" w14:textId="77777777" w:rsidR="005B6439" w:rsidRPr="00C06789" w:rsidRDefault="005B6439" w:rsidP="005B6439">
      <w:pPr>
        <w:spacing w:after="0" w:line="240" w:lineRule="auto"/>
        <w:rPr>
          <w:rFonts w:asciiTheme="minorHAnsi" w:hAnsiTheme="minorHAnsi" w:cstheme="minorHAnsi"/>
        </w:rPr>
      </w:pPr>
      <w:r w:rsidRPr="00C06789">
        <w:rPr>
          <w:rFonts w:asciiTheme="minorHAnsi" w:hAnsiTheme="minorHAnsi" w:cstheme="minorHAnsi"/>
          <w:b/>
          <w:bCs/>
        </w:rPr>
        <w:t>m</w:t>
      </w:r>
      <w:r w:rsidRPr="00C06789">
        <w:rPr>
          <w:rFonts w:asciiTheme="minorHAnsi" w:hAnsiTheme="minorHAnsi" w:cstheme="minorHAnsi"/>
          <w:b/>
          <w:bCs/>
          <w:vertAlign w:val="superscript"/>
        </w:rPr>
        <w:t>3</w:t>
      </w:r>
      <w:r w:rsidRPr="00C06789">
        <w:rPr>
          <w:rFonts w:asciiTheme="minorHAnsi" w:hAnsiTheme="minorHAnsi" w:cstheme="minorHAnsi"/>
          <w:b/>
          <w:bCs/>
        </w:rPr>
        <w:t>-r:</w:t>
      </w:r>
      <w:r w:rsidRPr="00C06789">
        <w:rPr>
          <w:rFonts w:asciiTheme="minorHAnsi" w:hAnsiTheme="minorHAnsi" w:cstheme="minorHAnsi"/>
        </w:rPr>
        <w:t xml:space="preserve"> metro cúbico de madera en rollo</w:t>
      </w:r>
    </w:p>
    <w:p w14:paraId="15D431AC" w14:textId="77777777" w:rsidR="005B6439" w:rsidRPr="00C06789" w:rsidRDefault="005B6439" w:rsidP="005B6439">
      <w:pPr>
        <w:spacing w:after="0" w:line="240" w:lineRule="auto"/>
        <w:rPr>
          <w:rFonts w:asciiTheme="minorHAnsi" w:hAnsiTheme="minorHAnsi" w:cstheme="minorHAnsi"/>
          <w:b/>
          <w:bCs/>
        </w:rPr>
      </w:pPr>
      <w:r w:rsidRPr="00C06789">
        <w:rPr>
          <w:rFonts w:asciiTheme="minorHAnsi" w:hAnsiTheme="minorHAnsi" w:cstheme="minorHAnsi"/>
          <w:b/>
          <w:bCs/>
        </w:rPr>
        <w:t xml:space="preserve">MEIC: </w:t>
      </w:r>
      <w:r w:rsidRPr="00C06789">
        <w:rPr>
          <w:rFonts w:asciiTheme="minorHAnsi" w:hAnsiTheme="minorHAnsi" w:cstheme="minorHAnsi"/>
        </w:rPr>
        <w:t>Ministerio de Economía, Industria y Comercio</w:t>
      </w:r>
    </w:p>
    <w:p w14:paraId="08825B7F" w14:textId="77777777" w:rsidR="005B6439" w:rsidRPr="00C06789" w:rsidRDefault="005B6439" w:rsidP="005B6439">
      <w:pPr>
        <w:spacing w:after="0" w:line="240" w:lineRule="auto"/>
        <w:rPr>
          <w:rFonts w:asciiTheme="minorHAnsi" w:hAnsiTheme="minorHAnsi" w:cstheme="minorHAnsi"/>
          <w:b/>
          <w:bCs/>
        </w:rPr>
      </w:pPr>
      <w:r w:rsidRPr="00C06789">
        <w:rPr>
          <w:rFonts w:asciiTheme="minorHAnsi" w:hAnsiTheme="minorHAnsi" w:cstheme="minorHAnsi"/>
          <w:b/>
          <w:bCs/>
        </w:rPr>
        <w:t xml:space="preserve">MINAE: </w:t>
      </w:r>
      <w:r w:rsidRPr="00C06789">
        <w:rPr>
          <w:rFonts w:asciiTheme="minorHAnsi" w:hAnsiTheme="minorHAnsi" w:cstheme="minorHAnsi"/>
        </w:rPr>
        <w:t>Ministerio de Ambiente y Energía</w:t>
      </w:r>
    </w:p>
    <w:p w14:paraId="0BFCB99B" w14:textId="77777777" w:rsidR="005B6439" w:rsidRPr="00C06789" w:rsidRDefault="005B6439" w:rsidP="005B6439">
      <w:pPr>
        <w:spacing w:after="0" w:line="240" w:lineRule="auto"/>
        <w:rPr>
          <w:rFonts w:asciiTheme="minorHAnsi" w:hAnsiTheme="minorHAnsi" w:cstheme="minorHAnsi"/>
        </w:rPr>
      </w:pPr>
      <w:r w:rsidRPr="00C06789">
        <w:rPr>
          <w:rFonts w:asciiTheme="minorHAnsi" w:hAnsiTheme="minorHAnsi" w:cstheme="minorHAnsi"/>
          <w:b/>
          <w:bCs/>
        </w:rPr>
        <w:t>OIMT:</w:t>
      </w:r>
      <w:r w:rsidRPr="00C06789">
        <w:rPr>
          <w:rFonts w:asciiTheme="minorHAnsi" w:hAnsiTheme="minorHAnsi" w:cstheme="minorHAnsi"/>
        </w:rPr>
        <w:t xml:space="preserve"> Organización Internacional de Maderas Tropicales</w:t>
      </w:r>
    </w:p>
    <w:p w14:paraId="79693810" w14:textId="77777777" w:rsidR="005B6439" w:rsidRPr="00C06789" w:rsidRDefault="005B6439" w:rsidP="005B6439">
      <w:pPr>
        <w:spacing w:after="0" w:line="240" w:lineRule="auto"/>
        <w:rPr>
          <w:rFonts w:asciiTheme="minorHAnsi" w:hAnsiTheme="minorHAnsi" w:cstheme="minorHAnsi"/>
        </w:rPr>
      </w:pPr>
      <w:r w:rsidRPr="00C06789">
        <w:rPr>
          <w:rFonts w:asciiTheme="minorHAnsi" w:hAnsiTheme="minorHAnsi" w:cstheme="minorHAnsi"/>
          <w:b/>
          <w:bCs/>
        </w:rPr>
        <w:t>ONF:</w:t>
      </w:r>
      <w:r w:rsidRPr="00C06789">
        <w:rPr>
          <w:rFonts w:asciiTheme="minorHAnsi" w:hAnsiTheme="minorHAnsi" w:cstheme="minorHAnsi"/>
        </w:rPr>
        <w:t xml:space="preserve"> Oficina Nacional Forestal</w:t>
      </w:r>
    </w:p>
    <w:p w14:paraId="5498A5F6" w14:textId="77777777" w:rsidR="005B6439" w:rsidRPr="00C06789" w:rsidRDefault="005B6439" w:rsidP="005B6439">
      <w:pPr>
        <w:spacing w:after="0" w:line="240" w:lineRule="auto"/>
        <w:rPr>
          <w:rFonts w:asciiTheme="minorHAnsi" w:hAnsiTheme="minorHAnsi" w:cstheme="minorHAnsi"/>
          <w:b/>
          <w:bCs/>
        </w:rPr>
      </w:pPr>
      <w:r w:rsidRPr="00C06789">
        <w:rPr>
          <w:rFonts w:asciiTheme="minorHAnsi" w:hAnsiTheme="minorHAnsi" w:cstheme="minorHAnsi"/>
          <w:b/>
          <w:bCs/>
        </w:rPr>
        <w:t xml:space="preserve">ONU: </w:t>
      </w:r>
      <w:r w:rsidRPr="00C06789">
        <w:rPr>
          <w:rFonts w:asciiTheme="minorHAnsi" w:hAnsiTheme="minorHAnsi" w:cstheme="minorHAnsi"/>
        </w:rPr>
        <w:t>Organización de las Naciones Unidas</w:t>
      </w:r>
    </w:p>
    <w:p w14:paraId="7F23BAC9" w14:textId="77777777" w:rsidR="005B6439" w:rsidRPr="00C06789" w:rsidRDefault="005B6439" w:rsidP="005B6439">
      <w:pPr>
        <w:spacing w:after="0" w:line="240" w:lineRule="auto"/>
        <w:rPr>
          <w:rFonts w:asciiTheme="minorHAnsi" w:hAnsiTheme="minorHAnsi" w:cstheme="minorHAnsi"/>
        </w:rPr>
      </w:pPr>
      <w:r w:rsidRPr="00C06789">
        <w:rPr>
          <w:rFonts w:asciiTheme="minorHAnsi" w:hAnsiTheme="minorHAnsi" w:cstheme="minorHAnsi"/>
          <w:b/>
          <w:bCs/>
        </w:rPr>
        <w:t>PIB:</w:t>
      </w:r>
      <w:r w:rsidRPr="00C06789">
        <w:rPr>
          <w:rFonts w:asciiTheme="minorHAnsi" w:hAnsiTheme="minorHAnsi" w:cstheme="minorHAnsi"/>
        </w:rPr>
        <w:t xml:space="preserve"> Producto Interno BrutoRE</w:t>
      </w:r>
    </w:p>
    <w:p w14:paraId="18C1AADB" w14:textId="35E7674E" w:rsidR="005B6439" w:rsidRPr="00A224CC" w:rsidRDefault="005B6439" w:rsidP="005B6439">
      <w:pPr>
        <w:spacing w:after="0" w:line="240" w:lineRule="auto"/>
        <w:rPr>
          <w:rFonts w:asciiTheme="minorHAnsi" w:hAnsiTheme="minorHAnsi" w:cstheme="minorHAnsi"/>
          <w:b/>
          <w:bCs/>
        </w:rPr>
      </w:pPr>
      <w:r w:rsidRPr="00A224CC">
        <w:rPr>
          <w:rFonts w:asciiTheme="minorHAnsi" w:hAnsiTheme="minorHAnsi" w:cstheme="minorHAnsi"/>
          <w:b/>
          <w:bCs/>
        </w:rPr>
        <w:t xml:space="preserve">PROCOMER: </w:t>
      </w:r>
      <w:r w:rsidRPr="00A224CC">
        <w:rPr>
          <w:rFonts w:asciiTheme="minorHAnsi" w:hAnsiTheme="minorHAnsi" w:cstheme="minorHAnsi"/>
        </w:rPr>
        <w:t>Promotora de Comercio Exterior de Costa Rica</w:t>
      </w:r>
    </w:p>
    <w:p w14:paraId="18DA1FCA" w14:textId="60DF0B72" w:rsidR="005B6439" w:rsidRDefault="005B6439" w:rsidP="005B6439">
      <w:pPr>
        <w:spacing w:after="0" w:line="240" w:lineRule="auto"/>
        <w:rPr>
          <w:rFonts w:asciiTheme="minorHAnsi" w:hAnsiTheme="minorHAnsi" w:cstheme="minorHAnsi"/>
          <w:b/>
          <w:bCs/>
        </w:rPr>
      </w:pPr>
      <w:r>
        <w:rPr>
          <w:rFonts w:asciiTheme="minorHAnsi" w:hAnsiTheme="minorHAnsi" w:cstheme="minorHAnsi"/>
          <w:b/>
          <w:bCs/>
        </w:rPr>
        <w:t xml:space="preserve">PYME: </w:t>
      </w:r>
      <w:r w:rsidRPr="005B6439">
        <w:rPr>
          <w:rFonts w:asciiTheme="minorHAnsi" w:hAnsiTheme="minorHAnsi" w:cstheme="minorHAnsi"/>
        </w:rPr>
        <w:t>Pequeña y Mediana Empresa</w:t>
      </w:r>
    </w:p>
    <w:p w14:paraId="5A1012D9" w14:textId="36EDAA37" w:rsidR="005B6439" w:rsidRDefault="005B6439" w:rsidP="005B6439">
      <w:pPr>
        <w:spacing w:after="0" w:line="240" w:lineRule="auto"/>
        <w:rPr>
          <w:rFonts w:asciiTheme="minorHAnsi" w:hAnsiTheme="minorHAnsi" w:cstheme="minorHAnsi"/>
          <w:b/>
          <w:bCs/>
        </w:rPr>
      </w:pPr>
      <w:r>
        <w:rPr>
          <w:rFonts w:asciiTheme="minorHAnsi" w:hAnsiTheme="minorHAnsi" w:cstheme="minorHAnsi"/>
          <w:b/>
          <w:bCs/>
        </w:rPr>
        <w:t xml:space="preserve">PYMPA: </w:t>
      </w:r>
      <w:r w:rsidRPr="005B6439">
        <w:rPr>
          <w:rFonts w:asciiTheme="minorHAnsi" w:hAnsiTheme="minorHAnsi" w:cstheme="minorHAnsi"/>
        </w:rPr>
        <w:t>Pequeño y Mediano Productor Agropecuario</w:t>
      </w:r>
    </w:p>
    <w:p w14:paraId="58C45485" w14:textId="1B11E710" w:rsidR="005B6439" w:rsidRPr="00A224CC" w:rsidRDefault="005B6439" w:rsidP="005B6439">
      <w:pPr>
        <w:spacing w:after="0" w:line="240" w:lineRule="auto"/>
        <w:rPr>
          <w:rFonts w:asciiTheme="minorHAnsi" w:hAnsiTheme="minorHAnsi" w:cstheme="minorHAnsi"/>
          <w:b/>
          <w:bCs/>
        </w:rPr>
      </w:pPr>
      <w:r w:rsidRPr="00A224CC">
        <w:rPr>
          <w:rFonts w:asciiTheme="minorHAnsi" w:hAnsiTheme="minorHAnsi" w:cstheme="minorHAnsi"/>
          <w:b/>
          <w:bCs/>
        </w:rPr>
        <w:t xml:space="preserve">RAMSAR: </w:t>
      </w:r>
      <w:r w:rsidRPr="00A224CC">
        <w:rPr>
          <w:rFonts w:asciiTheme="minorHAnsi" w:hAnsiTheme="minorHAnsi" w:cstheme="minorHAnsi"/>
        </w:rPr>
        <w:t>Convención sobre los Humedales de Importancia Internacional</w:t>
      </w:r>
    </w:p>
    <w:p w14:paraId="7EEB5EA9" w14:textId="77777777" w:rsidR="005B6439" w:rsidRPr="00C06789" w:rsidRDefault="005B6439" w:rsidP="005B6439">
      <w:pPr>
        <w:spacing w:after="0" w:line="240" w:lineRule="auto"/>
        <w:rPr>
          <w:rFonts w:asciiTheme="minorHAnsi" w:hAnsiTheme="minorHAnsi" w:cstheme="minorHAnsi"/>
        </w:rPr>
      </w:pPr>
      <w:r w:rsidRPr="00C06789">
        <w:rPr>
          <w:rFonts w:asciiTheme="minorHAnsi" w:hAnsiTheme="minorHAnsi" w:cstheme="minorHAnsi"/>
          <w:b/>
          <w:bCs/>
        </w:rPr>
        <w:t>REDD:</w:t>
      </w:r>
      <w:r w:rsidRPr="00C06789">
        <w:rPr>
          <w:rFonts w:asciiTheme="minorHAnsi" w:hAnsiTheme="minorHAnsi" w:cstheme="minorHAnsi"/>
        </w:rPr>
        <w:t xml:space="preserve"> Reducción de las Emisiones de la Deforestación y la Degradación Forestal</w:t>
      </w:r>
    </w:p>
    <w:p w14:paraId="269B6C43" w14:textId="77777777" w:rsidR="005B6439" w:rsidRPr="00C06789" w:rsidRDefault="005B6439" w:rsidP="005B6439">
      <w:pPr>
        <w:spacing w:after="0" w:line="240" w:lineRule="auto"/>
        <w:rPr>
          <w:rFonts w:asciiTheme="minorHAnsi" w:hAnsiTheme="minorHAnsi" w:cstheme="minorHAnsi"/>
          <w:b/>
          <w:bCs/>
        </w:rPr>
      </w:pPr>
      <w:r w:rsidRPr="00C06789">
        <w:rPr>
          <w:rFonts w:asciiTheme="minorHAnsi" w:hAnsiTheme="minorHAnsi" w:cstheme="minorHAnsi"/>
          <w:b/>
          <w:bCs/>
        </w:rPr>
        <w:t xml:space="preserve">RTA: </w:t>
      </w:r>
      <w:r w:rsidRPr="00C06789">
        <w:rPr>
          <w:rFonts w:asciiTheme="minorHAnsi" w:hAnsiTheme="minorHAnsi" w:cstheme="minorHAnsi"/>
        </w:rPr>
        <w:t>Ready to assemble</w:t>
      </w:r>
    </w:p>
    <w:p w14:paraId="33950B5A" w14:textId="77777777" w:rsidR="005B6439" w:rsidRPr="00C06789" w:rsidRDefault="005B6439" w:rsidP="005B6439">
      <w:pPr>
        <w:spacing w:after="0" w:line="240" w:lineRule="auto"/>
        <w:rPr>
          <w:rFonts w:asciiTheme="minorHAnsi" w:hAnsiTheme="minorHAnsi" w:cstheme="minorHAnsi"/>
        </w:rPr>
      </w:pPr>
      <w:r w:rsidRPr="00C06789">
        <w:rPr>
          <w:rFonts w:asciiTheme="minorHAnsi" w:hAnsiTheme="minorHAnsi" w:cstheme="minorHAnsi"/>
          <w:b/>
          <w:bCs/>
        </w:rPr>
        <w:t>SeREDDCR:</w:t>
      </w:r>
      <w:r w:rsidRPr="00C06789">
        <w:rPr>
          <w:rFonts w:asciiTheme="minorHAnsi" w:hAnsiTheme="minorHAnsi" w:cstheme="minorHAnsi"/>
        </w:rPr>
        <w:t xml:space="preserve"> Secretaría de REDD Costa Rica</w:t>
      </w:r>
    </w:p>
    <w:p w14:paraId="77E13A55" w14:textId="77777777" w:rsidR="005B6439" w:rsidRPr="00C06789" w:rsidRDefault="005B6439" w:rsidP="005B6439">
      <w:pPr>
        <w:spacing w:after="0" w:line="240" w:lineRule="auto"/>
        <w:rPr>
          <w:rFonts w:asciiTheme="minorHAnsi" w:hAnsiTheme="minorHAnsi" w:cstheme="minorHAnsi"/>
        </w:rPr>
      </w:pPr>
      <w:r w:rsidRPr="00C06789">
        <w:rPr>
          <w:rFonts w:asciiTheme="minorHAnsi" w:hAnsiTheme="minorHAnsi" w:cstheme="minorHAnsi"/>
          <w:b/>
          <w:bCs/>
        </w:rPr>
        <w:t xml:space="preserve">USD: </w:t>
      </w:r>
      <w:r w:rsidRPr="00C06789">
        <w:rPr>
          <w:rFonts w:asciiTheme="minorHAnsi" w:hAnsiTheme="minorHAnsi" w:cstheme="minorHAnsi"/>
        </w:rPr>
        <w:t>dólar americano</w:t>
      </w:r>
    </w:p>
    <w:p w14:paraId="3AE51B85" w14:textId="77777777" w:rsidR="00AE6DC1" w:rsidRPr="00AE6DC1" w:rsidRDefault="00AE6DC1" w:rsidP="00AE6DC1">
      <w:pPr>
        <w:spacing w:after="0" w:line="240" w:lineRule="auto"/>
        <w:rPr>
          <w:rFonts w:asciiTheme="minorHAnsi" w:hAnsiTheme="minorHAnsi" w:cstheme="minorHAnsi"/>
        </w:rPr>
      </w:pPr>
    </w:p>
    <w:p w14:paraId="025DA253" w14:textId="77777777" w:rsidR="00AE6DC1" w:rsidRPr="00AE6DC1" w:rsidRDefault="00AE6DC1" w:rsidP="00AE6DC1">
      <w:pPr>
        <w:spacing w:after="0" w:line="240" w:lineRule="auto"/>
        <w:rPr>
          <w:rFonts w:asciiTheme="minorHAnsi" w:hAnsiTheme="minorHAnsi" w:cstheme="minorHAnsi"/>
        </w:rPr>
      </w:pPr>
    </w:p>
    <w:p w14:paraId="5D28F7EF" w14:textId="77777777" w:rsidR="00AE6DC1" w:rsidRPr="00AE6DC1" w:rsidRDefault="00AE6DC1" w:rsidP="00AE6DC1">
      <w:pPr>
        <w:spacing w:after="0" w:line="240" w:lineRule="auto"/>
        <w:rPr>
          <w:rFonts w:asciiTheme="minorHAnsi" w:hAnsiTheme="minorHAnsi" w:cstheme="minorHAnsi"/>
        </w:rPr>
      </w:pPr>
    </w:p>
    <w:p w14:paraId="07BC64FF" w14:textId="77777777" w:rsidR="00AE6DC1" w:rsidRPr="00AE6DC1" w:rsidRDefault="00AE6DC1" w:rsidP="00AE6DC1">
      <w:pPr>
        <w:spacing w:after="0" w:line="240" w:lineRule="auto"/>
        <w:rPr>
          <w:rFonts w:asciiTheme="minorHAnsi" w:hAnsiTheme="minorHAnsi" w:cstheme="minorHAnsi"/>
        </w:rPr>
      </w:pPr>
    </w:p>
    <w:p w14:paraId="617B3498" w14:textId="77777777" w:rsidR="00AE6DC1" w:rsidRPr="00AE6DC1" w:rsidRDefault="00AE6DC1" w:rsidP="00AE6DC1">
      <w:pPr>
        <w:spacing w:after="0" w:line="240" w:lineRule="auto"/>
        <w:rPr>
          <w:rFonts w:asciiTheme="minorHAnsi" w:hAnsiTheme="minorHAnsi" w:cstheme="minorHAnsi"/>
        </w:rPr>
      </w:pPr>
    </w:p>
    <w:p w14:paraId="4E9DA0A1" w14:textId="77777777" w:rsidR="00AE6DC1" w:rsidRPr="00AE6DC1" w:rsidRDefault="00AE6DC1" w:rsidP="00AE6DC1">
      <w:pPr>
        <w:spacing w:after="0" w:line="240" w:lineRule="auto"/>
        <w:rPr>
          <w:rFonts w:asciiTheme="minorHAnsi" w:hAnsiTheme="minorHAnsi" w:cstheme="minorHAnsi"/>
        </w:rPr>
      </w:pPr>
    </w:p>
    <w:p w14:paraId="31C124F3" w14:textId="77777777" w:rsidR="00AE6DC1" w:rsidRDefault="00AE6DC1">
      <w:pPr>
        <w:rPr>
          <w:rFonts w:ascii="Arial" w:eastAsia="Arial" w:hAnsi="Arial" w:cs="Arial"/>
          <w:bCs/>
          <w:iCs/>
          <w:sz w:val="24"/>
          <w:szCs w:val="24"/>
        </w:rPr>
      </w:pPr>
    </w:p>
    <w:p w14:paraId="28D4B1DC" w14:textId="77777777" w:rsidR="00AE6DC1" w:rsidRDefault="00AE6DC1">
      <w:pPr>
        <w:rPr>
          <w:rFonts w:ascii="Arial" w:eastAsia="Arial" w:hAnsi="Arial" w:cs="Arial"/>
          <w:bCs/>
          <w:iCs/>
          <w:sz w:val="24"/>
          <w:szCs w:val="24"/>
        </w:rPr>
      </w:pPr>
    </w:p>
    <w:p w14:paraId="6ADD4364" w14:textId="77777777" w:rsidR="00AE6DC1" w:rsidRDefault="00AE6DC1">
      <w:pPr>
        <w:rPr>
          <w:rFonts w:ascii="Arial" w:eastAsia="Arial" w:hAnsi="Arial" w:cs="Arial"/>
          <w:bCs/>
          <w:iCs/>
          <w:sz w:val="24"/>
          <w:szCs w:val="24"/>
        </w:rPr>
      </w:pPr>
    </w:p>
    <w:p w14:paraId="590186CE" w14:textId="77777777" w:rsidR="00AE6DC1" w:rsidRDefault="00AE6DC1">
      <w:pPr>
        <w:rPr>
          <w:rFonts w:ascii="Arial" w:eastAsia="Arial" w:hAnsi="Arial" w:cs="Arial"/>
          <w:bCs/>
          <w:iCs/>
          <w:sz w:val="24"/>
          <w:szCs w:val="24"/>
        </w:rPr>
      </w:pPr>
    </w:p>
    <w:p w14:paraId="7810779F" w14:textId="77777777" w:rsidR="00AE6DC1" w:rsidRDefault="00AE6DC1">
      <w:pPr>
        <w:rPr>
          <w:rFonts w:ascii="Arial" w:eastAsia="Arial" w:hAnsi="Arial" w:cs="Arial"/>
          <w:bCs/>
          <w:iCs/>
          <w:sz w:val="24"/>
          <w:szCs w:val="24"/>
        </w:rPr>
      </w:pPr>
    </w:p>
    <w:p w14:paraId="56592B85" w14:textId="77777777" w:rsidR="005B6439" w:rsidRDefault="005B6439">
      <w:pPr>
        <w:rPr>
          <w:rFonts w:ascii="Arial" w:eastAsia="Arial" w:hAnsi="Arial" w:cs="Arial"/>
          <w:bCs/>
          <w:iCs/>
          <w:sz w:val="24"/>
          <w:szCs w:val="24"/>
        </w:rPr>
      </w:pPr>
    </w:p>
    <w:p w14:paraId="51A13DE9" w14:textId="77777777" w:rsidR="006052A3" w:rsidRDefault="006052A3">
      <w:pPr>
        <w:rPr>
          <w:rFonts w:ascii="Arial" w:eastAsia="Arial" w:hAnsi="Arial" w:cs="Arial"/>
          <w:bCs/>
          <w:iCs/>
          <w:sz w:val="24"/>
          <w:szCs w:val="24"/>
        </w:rPr>
      </w:pPr>
    </w:p>
    <w:p w14:paraId="24FA8810" w14:textId="1A1A7FAC" w:rsidR="00AE6DC1" w:rsidRDefault="00AE6DC1" w:rsidP="00AE6DC1">
      <w:pPr>
        <w:pStyle w:val="Ttulo1"/>
        <w:rPr>
          <w:rFonts w:eastAsia="Arial"/>
        </w:rPr>
      </w:pPr>
      <w:bookmarkStart w:id="2" w:name="_Toc159442577"/>
      <w:r>
        <w:rPr>
          <w:rFonts w:eastAsia="Arial"/>
        </w:rPr>
        <w:t>Resumen</w:t>
      </w:r>
      <w:bookmarkEnd w:id="2"/>
    </w:p>
    <w:p w14:paraId="7CB5666B" w14:textId="77777777" w:rsidR="00AE6DC1" w:rsidRDefault="00AE6DC1" w:rsidP="00AE6DC1"/>
    <w:p w14:paraId="65B82693" w14:textId="4B073D7D" w:rsidR="003209EA" w:rsidRDefault="003209EA" w:rsidP="003209EA">
      <w:pPr>
        <w:jc w:val="both"/>
      </w:pPr>
      <w:r>
        <w:t>Este documento se centra en el desarrollo de lineamientos estratégicos para la formulación de una estrategia de mercadeo efectiva y adaptada a las necesidades y objetivos de la venta de bienes producidos con madera de bosque secundario. La estrategia de mercadeo es fundamental para el éxito y la sostenibilidad de cualquier empresa o negocio, ya que guía las acciones destinadas a satisfacer las necesidades del mercado y alcanzar los objetivos comerciales.</w:t>
      </w:r>
    </w:p>
    <w:p w14:paraId="4E4E42D1" w14:textId="29EE3895" w:rsidR="003209EA" w:rsidRDefault="003209EA" w:rsidP="00023E8E">
      <w:pPr>
        <w:jc w:val="both"/>
      </w:pPr>
      <w:r>
        <w:t>El proceso de formulación de la estrategia de mercadeo implica un análisis exhaustivo del entorno empresarial, la identificación de los segmentos de mercado relevantes, el conocimiento profundo de los clientes, la evaluación de la competencia y la definición de los objetivos y metas comerciales.</w:t>
      </w:r>
      <w:r w:rsidR="00023E8E">
        <w:t xml:space="preserve"> Es por ello por lo que la vinculación institucional con el Ministerio de Economía, Industria y Comercio (MEIC) y el Ministerio de Comercio Exterior (COMEX) resulta fundamental.</w:t>
      </w:r>
    </w:p>
    <w:p w14:paraId="4ECEFCDE" w14:textId="7BC784FC" w:rsidR="003209EA" w:rsidRDefault="00023E8E" w:rsidP="00023E8E">
      <w:pPr>
        <w:jc w:val="both"/>
      </w:pPr>
      <w:r>
        <w:t>En el</w:t>
      </w:r>
      <w:r w:rsidR="003209EA">
        <w:t xml:space="preserve"> análisis detallado del entorno </w:t>
      </w:r>
      <w:r>
        <w:t>empresarial, requisitos y políticas nacionales</w:t>
      </w:r>
      <w:r w:rsidR="003209EA">
        <w:t>, incluye factores económicos, políticos, sociales, tecnológicos y legales que puedan influir en su desempeño y en las estrategias de mercadeo.</w:t>
      </w:r>
      <w:r>
        <w:t xml:space="preserve"> Siguiendo esta premisa la d</w:t>
      </w:r>
      <w:r w:rsidR="003209EA">
        <w:t>efinición de objetivos y metas clar</w:t>
      </w:r>
      <w:r>
        <w:t>a</w:t>
      </w:r>
      <w:r w:rsidR="003209EA">
        <w:t>s y alcanzables que orienten la estrategia de mercadeo</w:t>
      </w:r>
      <w:r>
        <w:t xml:space="preserve"> y la vinculación con estas instituciones permite que las hojas de ruta planteadas puedan integrar a la Cámara Forestal Madera e Industria (CFMI) como un eslabón clave para la sostenibilidad en el tiempo de los resultados y la consolidación de empresas formales</w:t>
      </w:r>
      <w:r w:rsidR="003209EA">
        <w:t>.</w:t>
      </w:r>
    </w:p>
    <w:p w14:paraId="0EDA21E8" w14:textId="77777777" w:rsidR="00023E8E" w:rsidRDefault="00023E8E">
      <w:pPr>
        <w:spacing w:line="259" w:lineRule="auto"/>
      </w:pPr>
    </w:p>
    <w:p w14:paraId="19844E24" w14:textId="58939514" w:rsidR="00AE6DC1" w:rsidRDefault="00AE6DC1">
      <w:pPr>
        <w:spacing w:line="259" w:lineRule="auto"/>
      </w:pPr>
      <w:r>
        <w:br w:type="page"/>
      </w:r>
    </w:p>
    <w:p w14:paraId="08A5104C" w14:textId="67643263" w:rsidR="00AE6DC1" w:rsidRDefault="00AE6DC1" w:rsidP="00AE6DC1">
      <w:pPr>
        <w:pStyle w:val="Ttulo1"/>
        <w:numPr>
          <w:ilvl w:val="0"/>
          <w:numId w:val="2"/>
        </w:numPr>
      </w:pPr>
      <w:bookmarkStart w:id="3" w:name="_Toc159442578"/>
      <w:r>
        <w:lastRenderedPageBreak/>
        <w:t>Introducción</w:t>
      </w:r>
      <w:bookmarkEnd w:id="3"/>
      <w:r>
        <w:t xml:space="preserve"> </w:t>
      </w:r>
    </w:p>
    <w:p w14:paraId="4DC3E2F6" w14:textId="77777777" w:rsidR="009139BB" w:rsidRDefault="009139BB" w:rsidP="00FF7E91">
      <w:pPr>
        <w:jc w:val="both"/>
        <w:rPr>
          <w:rFonts w:asciiTheme="minorHAnsi" w:hAnsiTheme="minorHAnsi" w:cstheme="minorHAnsi"/>
        </w:rPr>
      </w:pPr>
    </w:p>
    <w:p w14:paraId="12A190E5" w14:textId="6967CA2C" w:rsidR="00B85E85" w:rsidRPr="00C06789" w:rsidRDefault="00B85E85" w:rsidP="00FF7E91">
      <w:pPr>
        <w:jc w:val="both"/>
        <w:rPr>
          <w:rFonts w:asciiTheme="minorHAnsi" w:hAnsiTheme="minorHAnsi" w:cstheme="minorHAnsi"/>
        </w:rPr>
      </w:pPr>
      <w:r w:rsidRPr="00C06789">
        <w:rPr>
          <w:rFonts w:asciiTheme="minorHAnsi" w:hAnsiTheme="minorHAnsi" w:cstheme="minorHAnsi"/>
        </w:rPr>
        <w:t>Costa Rica es un país con un historial reconocido internacionalmente por la conservación de los bosques y la biodiversidad, además del desarrollo de acciones eficaces para combatir el cambio climático, lo cual ha permitido que los bosques de Costa Rica se conviertan en un sumidero neto de gases de efecto invernadero desde 2014. A pesar de los avances en la agenda de conservación, el sector forestal del país enfrenta varios retos para mejorar su rendimiento, requiriendo apoyo en el desarrollo de la innovación en procesos productivos y productos forestales.</w:t>
      </w:r>
    </w:p>
    <w:p w14:paraId="5B40679F" w14:textId="77777777" w:rsidR="00B85E85" w:rsidRPr="00C06789" w:rsidRDefault="00B85E85" w:rsidP="00FF7E91">
      <w:pPr>
        <w:jc w:val="both"/>
        <w:rPr>
          <w:rFonts w:asciiTheme="minorHAnsi" w:hAnsiTheme="minorHAnsi" w:cstheme="minorHAnsi"/>
        </w:rPr>
      </w:pPr>
      <w:r w:rsidRPr="00C06789">
        <w:rPr>
          <w:rFonts w:asciiTheme="minorHAnsi" w:hAnsiTheme="minorHAnsi" w:cstheme="minorHAnsi"/>
        </w:rPr>
        <w:t>El país cuenta con aproximadamente un millón de hectáreas de bosque secundario, las cuales se encuentran amenazadas por la degradación, siendo considerada la cobertura territorial más vulnerable por la presión de otras actividades económicas, debido a que la sociedad no percibe el valor del recurso disponible (Programa ONU-REDD, 2017). Es importante señalar que estos bosques pertenecen en su mayoría a pequeños productores, por lo tanto, acciones que aseguren un manejo adecuado de los mismos, pueden traducirse en mayor dinamismo de la economía local y un aporte a la reducción de la vulnerabilidad de las áreas rurales (CFMI, 2022).</w:t>
      </w:r>
    </w:p>
    <w:p w14:paraId="50D43513" w14:textId="77777777" w:rsidR="00B85E85" w:rsidRPr="00C06789" w:rsidRDefault="00B85E85" w:rsidP="00FF7E91">
      <w:pPr>
        <w:jc w:val="both"/>
        <w:rPr>
          <w:rFonts w:asciiTheme="minorHAnsi" w:hAnsiTheme="minorHAnsi" w:cstheme="minorHAnsi"/>
        </w:rPr>
      </w:pPr>
      <w:r w:rsidRPr="00C06789">
        <w:rPr>
          <w:rFonts w:asciiTheme="minorHAnsi" w:hAnsiTheme="minorHAnsi" w:cstheme="minorHAnsi"/>
        </w:rPr>
        <w:t>Reconociendo la necesidad de conservar los bosques secundarios a través de su uso sostenible, se pidió el apoyo de la OIMT, el cual, a través del financiamiento del gobierno de Japón, surge el proyecto sobre el “</w:t>
      </w:r>
      <w:r w:rsidRPr="00C06789">
        <w:rPr>
          <w:lang w:eastAsia="en-US"/>
        </w:rPr>
        <w:t>Aumento del valor del bosque natural secundario mediante su uso sostenible, generando empleo rural, en un contexto post COVID”</w:t>
      </w:r>
    </w:p>
    <w:p w14:paraId="7804EC78" w14:textId="77777777" w:rsidR="00B85E85" w:rsidRPr="00C06789" w:rsidRDefault="00B85E85" w:rsidP="00FF7E91">
      <w:pPr>
        <w:jc w:val="both"/>
        <w:rPr>
          <w:rFonts w:asciiTheme="minorHAnsi" w:hAnsiTheme="minorHAnsi" w:cstheme="minorHAnsi"/>
        </w:rPr>
      </w:pPr>
      <w:r w:rsidRPr="00C06789">
        <w:rPr>
          <w:rFonts w:asciiTheme="minorHAnsi" w:hAnsiTheme="minorHAnsi" w:cstheme="minorHAnsi"/>
        </w:rPr>
        <w:t>Este proyecto planteó cinco resultados específicos, los cuales se enumeran a continuación: (i) Identificar el potencial de los bosques secundarios, a través del análisis estructural y florístico de 100 parcelas establecidas en todo el país, así como otras fuentes; (ii) Seleccionar diversas especies autóctonas para el desarrollo potencial de productos de alto valor para nichos de mercado; (iii) Integrar a las mujeres y los jóvenes de las comunidades en los distintos procesos de la cadena de valor; (iv) Realizar un estudio de mercado preliminar de los posibles productos de alto valor que pueden fabricarse en el país; (v) Diseñar y fabricar prototipos de estos productos en una instalación de producción seleccionada, estimando los costes de producción.</w:t>
      </w:r>
    </w:p>
    <w:p w14:paraId="6FF0BE3D" w14:textId="77777777" w:rsidR="00B85E85" w:rsidRPr="00C06789" w:rsidRDefault="00B85E85" w:rsidP="00FF7E91">
      <w:pPr>
        <w:jc w:val="both"/>
        <w:rPr>
          <w:rFonts w:asciiTheme="minorHAnsi" w:hAnsiTheme="minorHAnsi" w:cstheme="minorHAnsi"/>
        </w:rPr>
      </w:pPr>
      <w:r w:rsidRPr="00C06789">
        <w:rPr>
          <w:rFonts w:asciiTheme="minorHAnsi" w:hAnsiTheme="minorHAnsi" w:cstheme="minorHAnsi"/>
        </w:rPr>
        <w:t>El enfoque metodológico utilizado fue mixto, este tipo de investigación implica “un conjunto de procesos de recolección, análisis y vinculación de datos cuantitativos y cualitativos en un mismo estudio o una serie de investigaciones para responder a un planteamiento del problema” (Sapag &amp; Sapag, 2008).</w:t>
      </w:r>
    </w:p>
    <w:p w14:paraId="01BF13BD" w14:textId="44D1F678" w:rsidR="00B85E85" w:rsidRPr="00C06789" w:rsidRDefault="00B85E85" w:rsidP="00FF7E91">
      <w:pPr>
        <w:jc w:val="both"/>
        <w:rPr>
          <w:rFonts w:asciiTheme="minorHAnsi" w:hAnsiTheme="minorHAnsi" w:cstheme="minorHAnsi"/>
        </w:rPr>
      </w:pPr>
      <w:r w:rsidRPr="00C06789">
        <w:rPr>
          <w:rFonts w:asciiTheme="minorHAnsi" w:hAnsiTheme="minorHAnsi" w:cstheme="minorHAnsi"/>
        </w:rPr>
        <w:t xml:space="preserve">Para efecto de este estudio se consideraron variables cuantitativas y cualitativas sobre los bosques secundarios del país, de acuerdo con las actividades propuestas en el proyecto, a saber, actividad </w:t>
      </w:r>
      <w:r w:rsidR="00025DAD" w:rsidRPr="00025DAD">
        <w:rPr>
          <w:rFonts w:asciiTheme="minorHAnsi" w:hAnsiTheme="minorHAnsi" w:cstheme="minorHAnsi"/>
        </w:rPr>
        <w:t>4.1: Generar una hoja de ruta país con PROCOMER, para la promoción comercial internacional de productos de madera</w:t>
      </w:r>
      <w:r w:rsidR="00025DAD">
        <w:rPr>
          <w:rFonts w:asciiTheme="minorHAnsi" w:hAnsiTheme="minorHAnsi" w:cstheme="minorHAnsi"/>
        </w:rPr>
        <w:t xml:space="preserve"> y </w:t>
      </w:r>
      <w:r w:rsidR="008957DB">
        <w:rPr>
          <w:rFonts w:asciiTheme="minorHAnsi" w:hAnsiTheme="minorHAnsi" w:cstheme="minorHAnsi"/>
        </w:rPr>
        <w:t>a</w:t>
      </w:r>
      <w:r w:rsidR="008957DB" w:rsidRPr="008957DB">
        <w:rPr>
          <w:rFonts w:asciiTheme="minorHAnsi" w:hAnsiTheme="minorHAnsi" w:cstheme="minorHAnsi"/>
        </w:rPr>
        <w:t>ctividad 4.2: Generar una hoja de ruta país con MEIC, para la promoción comercial local de productos de madera</w:t>
      </w:r>
      <w:r w:rsidR="008957DB">
        <w:rPr>
          <w:rFonts w:asciiTheme="minorHAnsi" w:hAnsiTheme="minorHAnsi" w:cstheme="minorHAnsi"/>
        </w:rPr>
        <w:t>.</w:t>
      </w:r>
    </w:p>
    <w:p w14:paraId="066772E4" w14:textId="77777777" w:rsidR="00AE6DC1" w:rsidRDefault="00AE6DC1" w:rsidP="00AE6DC1"/>
    <w:p w14:paraId="5737E89F" w14:textId="77777777" w:rsidR="00AE6DC1" w:rsidRDefault="00AE6DC1" w:rsidP="00AE6DC1"/>
    <w:p w14:paraId="43435BC1" w14:textId="243B3EE8" w:rsidR="00AE6DC1" w:rsidRDefault="00AE6DC1">
      <w:pPr>
        <w:spacing w:line="259" w:lineRule="auto"/>
      </w:pPr>
      <w:r>
        <w:br w:type="page"/>
      </w:r>
    </w:p>
    <w:p w14:paraId="0FE91C7B" w14:textId="3C4D4D63" w:rsidR="00AE6DC1" w:rsidRPr="00AE6DC1" w:rsidRDefault="00AE6DC1" w:rsidP="00C05714">
      <w:pPr>
        <w:pStyle w:val="Ttulo1"/>
        <w:numPr>
          <w:ilvl w:val="0"/>
          <w:numId w:val="2"/>
        </w:numPr>
        <w:jc w:val="both"/>
        <w:rPr>
          <w:b w:val="0"/>
          <w:bCs/>
        </w:rPr>
      </w:pPr>
      <w:bookmarkStart w:id="4" w:name="_Toc159442579"/>
      <w:r w:rsidRPr="00AE6DC1">
        <w:rPr>
          <w:b w:val="0"/>
          <w:bCs/>
        </w:rPr>
        <w:lastRenderedPageBreak/>
        <w:t>Metodología aplicada</w:t>
      </w:r>
      <w:bookmarkEnd w:id="4"/>
      <w:r w:rsidRPr="00AE6DC1">
        <w:rPr>
          <w:b w:val="0"/>
          <w:bCs/>
        </w:rPr>
        <w:t xml:space="preserve"> </w:t>
      </w:r>
    </w:p>
    <w:p w14:paraId="6CD3031C" w14:textId="77777777" w:rsidR="00AE6DC1" w:rsidRDefault="00AE6DC1" w:rsidP="00C05714">
      <w:pPr>
        <w:jc w:val="both"/>
      </w:pPr>
    </w:p>
    <w:p w14:paraId="7E6DE195" w14:textId="6FD7297A" w:rsidR="009139BB" w:rsidRDefault="009139BB" w:rsidP="009139BB">
      <w:pPr>
        <w:jc w:val="both"/>
      </w:pPr>
      <w:r w:rsidRPr="009139BB">
        <w:t>Este informe de avance tiene</w:t>
      </w:r>
      <w:r>
        <w:t xml:space="preserve"> como objetivo definir las hojas de ruta para la definición de los l</w:t>
      </w:r>
      <w:r w:rsidRPr="009139BB">
        <w:t>ineamientos para la formulación de una estrategia de mercadeo</w:t>
      </w:r>
      <w:r>
        <w:t xml:space="preserve"> de los productos de madera en el mercado </w:t>
      </w:r>
      <w:r w:rsidR="000D3CE6">
        <w:t>local</w:t>
      </w:r>
      <w:r>
        <w:t xml:space="preserve"> e internacional. Para ello se establecieron vínculos estratégicos con el Ministerio de Economía, Industria y Comercio (MEIC) y la Promotora de Comercio </w:t>
      </w:r>
      <w:r w:rsidR="000F3EA2">
        <w:t xml:space="preserve">Exterior </w:t>
      </w:r>
      <w:r>
        <w:t xml:space="preserve">de Costa Rica (PROCOMER). </w:t>
      </w:r>
    </w:p>
    <w:p w14:paraId="7F0B454A" w14:textId="10CE3A77" w:rsidR="009139BB" w:rsidRPr="00C06789" w:rsidRDefault="009139BB" w:rsidP="009139BB">
      <w:pPr>
        <w:jc w:val="both"/>
        <w:rPr>
          <w:rFonts w:asciiTheme="minorHAnsi" w:hAnsiTheme="minorHAnsi" w:cstheme="minorHAnsi"/>
        </w:rPr>
      </w:pPr>
      <w:r>
        <w:t xml:space="preserve">Adicionalmente se realizó una revisión de documentos de política nacional para la definición de las pautas o pasos para definir las hojas de ruta con cada instancia y la participación de la CFMI. </w:t>
      </w:r>
      <w:r>
        <w:rPr>
          <w:rFonts w:asciiTheme="minorHAnsi" w:hAnsiTheme="minorHAnsi" w:cstheme="minorHAnsi"/>
        </w:rPr>
        <w:t>Para ello e</w:t>
      </w:r>
      <w:r w:rsidRPr="00C06789">
        <w:rPr>
          <w:rFonts w:asciiTheme="minorHAnsi" w:hAnsiTheme="minorHAnsi" w:cstheme="minorHAnsi"/>
        </w:rPr>
        <w:t>l enfoque metodológico utilizado fue mixto</w:t>
      </w:r>
      <w:r>
        <w:rPr>
          <w:rFonts w:asciiTheme="minorHAnsi" w:hAnsiTheme="minorHAnsi" w:cstheme="minorHAnsi"/>
        </w:rPr>
        <w:t>, considerando</w:t>
      </w:r>
      <w:r w:rsidRPr="00C06789">
        <w:rPr>
          <w:rFonts w:asciiTheme="minorHAnsi" w:hAnsiTheme="minorHAnsi" w:cstheme="minorHAnsi"/>
        </w:rPr>
        <w:t xml:space="preserve"> variables cuantitativas y cualitativas, de acuerdo con las actividades propuestas, actividad </w:t>
      </w:r>
      <w:r w:rsidRPr="00025DAD">
        <w:rPr>
          <w:rFonts w:asciiTheme="minorHAnsi" w:hAnsiTheme="minorHAnsi" w:cstheme="minorHAnsi"/>
        </w:rPr>
        <w:t>4.1: Generar una hoja de ruta país con PROCOMER, para la promoción comercial internacional de productos de madera</w:t>
      </w:r>
      <w:r>
        <w:rPr>
          <w:rFonts w:asciiTheme="minorHAnsi" w:hAnsiTheme="minorHAnsi" w:cstheme="minorHAnsi"/>
        </w:rPr>
        <w:t xml:space="preserve"> y a</w:t>
      </w:r>
      <w:r w:rsidRPr="008957DB">
        <w:rPr>
          <w:rFonts w:asciiTheme="minorHAnsi" w:hAnsiTheme="minorHAnsi" w:cstheme="minorHAnsi"/>
        </w:rPr>
        <w:t>ctividad 4.2: Generar una hoja de ruta país con MEIC, para la promoción comercial local de productos de madera</w:t>
      </w:r>
      <w:r>
        <w:rPr>
          <w:rFonts w:asciiTheme="minorHAnsi" w:hAnsiTheme="minorHAnsi" w:cstheme="minorHAnsi"/>
        </w:rPr>
        <w:t>.</w:t>
      </w:r>
    </w:p>
    <w:p w14:paraId="67797EF6" w14:textId="6E6E1234" w:rsidR="009139BB" w:rsidRPr="009139BB" w:rsidRDefault="009139BB" w:rsidP="009139BB">
      <w:pPr>
        <w:jc w:val="both"/>
      </w:pPr>
    </w:p>
    <w:p w14:paraId="382DB818" w14:textId="7CE7E132" w:rsidR="00005E08" w:rsidRDefault="00826503" w:rsidP="00C05714">
      <w:pPr>
        <w:pStyle w:val="Ttulo2"/>
        <w:numPr>
          <w:ilvl w:val="1"/>
          <w:numId w:val="2"/>
        </w:numPr>
        <w:jc w:val="both"/>
      </w:pPr>
      <w:bookmarkStart w:id="5" w:name="_Toc159442580"/>
      <w:r>
        <w:t>Ubicación del proyecto</w:t>
      </w:r>
      <w:bookmarkEnd w:id="5"/>
      <w:r>
        <w:t xml:space="preserve"> </w:t>
      </w:r>
    </w:p>
    <w:p w14:paraId="0098B1C1" w14:textId="77777777" w:rsidR="00826503" w:rsidRDefault="00826503" w:rsidP="00C05714">
      <w:pPr>
        <w:jc w:val="both"/>
      </w:pPr>
    </w:p>
    <w:p w14:paraId="053E986A" w14:textId="77777777" w:rsidR="00826503" w:rsidRPr="00C06789" w:rsidRDefault="00826503" w:rsidP="00C05714">
      <w:pPr>
        <w:jc w:val="both"/>
        <w:rPr>
          <w:rFonts w:asciiTheme="minorHAnsi" w:hAnsiTheme="minorHAnsi" w:cstheme="minorHAnsi"/>
        </w:rPr>
      </w:pPr>
      <w:r w:rsidRPr="00C06789">
        <w:rPr>
          <w:rFonts w:asciiTheme="minorHAnsi" w:hAnsiTheme="minorHAnsi" w:cstheme="minorHAnsi"/>
        </w:rPr>
        <w:t>El proyecto se desarrolla en dos regiones de Costa Rica, la Región Chorotega y la Región Huetar Norte. (Figura 1)</w:t>
      </w:r>
    </w:p>
    <w:p w14:paraId="4D69D7A6" w14:textId="77777777" w:rsidR="00826503" w:rsidRPr="00C06789" w:rsidRDefault="00826503" w:rsidP="00C05714">
      <w:pPr>
        <w:pStyle w:val="Ttulo3"/>
        <w:jc w:val="both"/>
      </w:pPr>
      <w:bookmarkStart w:id="6" w:name="_heading=h.tyjcwt" w:colFirst="0" w:colLast="0"/>
      <w:bookmarkStart w:id="7" w:name="_Toc157684675"/>
      <w:bookmarkStart w:id="8" w:name="_Toc159442581"/>
      <w:bookmarkEnd w:id="6"/>
      <w:r w:rsidRPr="00C06789">
        <w:t>Región Chorotega</w:t>
      </w:r>
      <w:bookmarkEnd w:id="7"/>
      <w:bookmarkEnd w:id="8"/>
    </w:p>
    <w:p w14:paraId="7082DD88" w14:textId="77777777" w:rsidR="00826503" w:rsidRPr="00C06789" w:rsidRDefault="00826503" w:rsidP="00C05714">
      <w:pPr>
        <w:jc w:val="both"/>
        <w:rPr>
          <w:rFonts w:asciiTheme="minorHAnsi" w:hAnsiTheme="minorHAnsi" w:cstheme="minorHAnsi"/>
        </w:rPr>
      </w:pPr>
      <w:r w:rsidRPr="00C06789">
        <w:rPr>
          <w:rFonts w:asciiTheme="minorHAnsi" w:hAnsiTheme="minorHAnsi" w:cstheme="minorHAnsi"/>
        </w:rPr>
        <w:t xml:space="preserve">El área de estudio comprendida por la provincia de Guanacaste y la Península de Nicoya, ubicada al oeste del país, corresponde a una región cuyas principales actividades económicas se centran en el turismo, actividad agropecuaria y recientemente, en el sector inmobiliario. </w:t>
      </w:r>
    </w:p>
    <w:p w14:paraId="6779AFA0" w14:textId="77777777" w:rsidR="00826503" w:rsidRPr="00C06789" w:rsidRDefault="00826503" w:rsidP="00C05714">
      <w:pPr>
        <w:jc w:val="both"/>
        <w:rPr>
          <w:rFonts w:asciiTheme="minorHAnsi" w:hAnsiTheme="minorHAnsi" w:cstheme="minorHAnsi"/>
        </w:rPr>
      </w:pPr>
      <w:r w:rsidRPr="00C06789">
        <w:rPr>
          <w:rFonts w:asciiTheme="minorHAnsi" w:hAnsiTheme="minorHAnsi" w:cstheme="minorHAnsi"/>
        </w:rPr>
        <w:t>Por otro lado, la zona de Guanacaste predomina por la presencia de bosque seco tropical, ecosistema vulnerable por las sequías, aumento de temperatura y otras consecuencias del cambio climático. Este bosque alberga biodiversidad endémica, sitios de relevancia para la conservación (RAMSAR, CITES) y concentra un sinfín de atractivos al turismo nacional e internacional.</w:t>
      </w:r>
    </w:p>
    <w:p w14:paraId="42538BD4" w14:textId="77777777" w:rsidR="00826503" w:rsidRPr="00C06789" w:rsidRDefault="00826503" w:rsidP="00C05714">
      <w:pPr>
        <w:pStyle w:val="Ttulo3"/>
        <w:jc w:val="both"/>
      </w:pPr>
      <w:bookmarkStart w:id="9" w:name="_heading=h.3dy6vkm" w:colFirst="0" w:colLast="0"/>
      <w:bookmarkStart w:id="10" w:name="_Toc157684676"/>
      <w:bookmarkStart w:id="11" w:name="_Toc159442582"/>
      <w:bookmarkEnd w:id="9"/>
      <w:r w:rsidRPr="00C06789">
        <w:t>Región Huetar Norte</w:t>
      </w:r>
      <w:bookmarkEnd w:id="10"/>
      <w:bookmarkEnd w:id="11"/>
    </w:p>
    <w:p w14:paraId="1A2823C7" w14:textId="77777777" w:rsidR="00826503" w:rsidRPr="00C06789" w:rsidRDefault="00826503" w:rsidP="00C05714">
      <w:pPr>
        <w:jc w:val="both"/>
        <w:rPr>
          <w:rFonts w:asciiTheme="minorHAnsi" w:hAnsiTheme="minorHAnsi" w:cstheme="minorHAnsi"/>
        </w:rPr>
        <w:sectPr w:rsidR="00826503" w:rsidRPr="00C06789" w:rsidSect="000D3FDD">
          <w:footerReference w:type="default" r:id="rId12"/>
          <w:pgSz w:w="11906" w:h="16838"/>
          <w:pgMar w:top="1417" w:right="1701" w:bottom="1417" w:left="1701" w:header="720" w:footer="720" w:gutter="0"/>
          <w:pgNumType w:start="1"/>
          <w:cols w:space="720"/>
        </w:sectPr>
      </w:pPr>
      <w:r w:rsidRPr="00C06789">
        <w:rPr>
          <w:rFonts w:asciiTheme="minorHAnsi" w:hAnsiTheme="minorHAnsi" w:cstheme="minorHAnsi"/>
        </w:rPr>
        <w:t>La región Huetar Norte comprende los cantones de Upala, Los Chiles, Guatuso, San Carlos, Río Cuarto (provincia de Alajuela) y Sarapiquí (provincia de Heredia). Esta región es reconocida por ser una zona con una importante oferta productiva agropecuaria, y con muchas zonas ricas en recursos naturales, la cual propicia el turismo, siendo estas dos las actividades productivas de la región. La región Huetar Norte es una de las zonas donde se han establecido más plantaciones forestales en el país, abarcando aproximadamente un 3% de la región (Meza, y otros, 2019). Un 10% corresponde a bosques, los cuales han sido reconocidos por su potencial productivo (Baltodano, 2007)</w:t>
      </w:r>
    </w:p>
    <w:p w14:paraId="10F14204" w14:textId="6B44AE06" w:rsidR="00826503" w:rsidRPr="00C06789" w:rsidRDefault="00826503" w:rsidP="00826503">
      <w:pPr>
        <w:pStyle w:val="Descripcin"/>
        <w:rPr>
          <w:rFonts w:asciiTheme="minorHAnsi" w:hAnsiTheme="minorHAnsi" w:cstheme="minorHAnsi"/>
          <w:sz w:val="22"/>
          <w:szCs w:val="22"/>
        </w:rPr>
        <w:sectPr w:rsidR="00826503" w:rsidRPr="00C06789" w:rsidSect="000D3FDD">
          <w:type w:val="continuous"/>
          <w:pgSz w:w="16838" w:h="11906" w:orient="landscape"/>
          <w:pgMar w:top="1417" w:right="1701" w:bottom="1417" w:left="1701" w:header="720" w:footer="720" w:gutter="0"/>
          <w:cols w:space="720"/>
        </w:sectPr>
      </w:pPr>
      <w:bookmarkStart w:id="12" w:name="_heading=h.1t3h5sf" w:colFirst="0" w:colLast="0"/>
      <w:bookmarkStart w:id="13" w:name="_Toc157684628"/>
      <w:bookmarkEnd w:id="12"/>
      <w:r w:rsidRPr="00C06789">
        <w:rPr>
          <w:color w:val="000000" w:themeColor="text1"/>
          <w:sz w:val="22"/>
          <w:szCs w:val="22"/>
        </w:rPr>
        <w:lastRenderedPageBreak/>
        <w:t xml:space="preserve">Figura </w:t>
      </w:r>
      <w:r w:rsidRPr="00C06789">
        <w:rPr>
          <w:color w:val="000000" w:themeColor="text1"/>
          <w:sz w:val="22"/>
          <w:szCs w:val="22"/>
        </w:rPr>
        <w:fldChar w:fldCharType="begin"/>
      </w:r>
      <w:r w:rsidRPr="00C06789">
        <w:rPr>
          <w:color w:val="000000" w:themeColor="text1"/>
          <w:sz w:val="22"/>
          <w:szCs w:val="22"/>
        </w:rPr>
        <w:instrText xml:space="preserve"> SEQ Figura \* ARABIC </w:instrText>
      </w:r>
      <w:r w:rsidRPr="00C06789">
        <w:rPr>
          <w:color w:val="000000" w:themeColor="text1"/>
          <w:sz w:val="22"/>
          <w:szCs w:val="22"/>
        </w:rPr>
        <w:fldChar w:fldCharType="separate"/>
      </w:r>
      <w:r w:rsidR="00CB0DAA">
        <w:rPr>
          <w:noProof/>
          <w:color w:val="000000" w:themeColor="text1"/>
          <w:sz w:val="22"/>
          <w:szCs w:val="22"/>
        </w:rPr>
        <w:t>1</w:t>
      </w:r>
      <w:r w:rsidRPr="00C06789">
        <w:rPr>
          <w:color w:val="000000" w:themeColor="text1"/>
          <w:sz w:val="22"/>
          <w:szCs w:val="22"/>
        </w:rPr>
        <w:fldChar w:fldCharType="end"/>
      </w:r>
      <w:r w:rsidRPr="00C06789">
        <w:rPr>
          <w:color w:val="000000" w:themeColor="text1"/>
          <w:sz w:val="22"/>
          <w:szCs w:val="22"/>
        </w:rPr>
        <w:t xml:space="preserve"> Mapa con la ubicación del área del proyecto por cantones en el paí</w:t>
      </w:r>
      <w:r w:rsidRPr="00C06789">
        <w:rPr>
          <w:rFonts w:asciiTheme="minorHAnsi" w:hAnsiTheme="minorHAnsi" w:cstheme="minorHAnsi"/>
          <w:noProof/>
          <w:sz w:val="22"/>
          <w:szCs w:val="22"/>
        </w:rPr>
        <w:drawing>
          <wp:anchor distT="0" distB="0" distL="114300" distR="114300" simplePos="0" relativeHeight="251658240" behindDoc="0" locked="0" layoutInCell="1" hidden="0" allowOverlap="1" wp14:anchorId="127E5A30" wp14:editId="1456A8E6">
            <wp:simplePos x="0" y="0"/>
            <wp:positionH relativeFrom="column">
              <wp:posOffset>-448297</wp:posOffset>
            </wp:positionH>
            <wp:positionV relativeFrom="paragraph">
              <wp:posOffset>219075</wp:posOffset>
            </wp:positionV>
            <wp:extent cx="8861303" cy="6258296"/>
            <wp:effectExtent l="0" t="0" r="0" b="0"/>
            <wp:wrapNone/>
            <wp:docPr id="2125540386" name="image82.png"/>
            <wp:cNvGraphicFramePr/>
            <a:graphic xmlns:a="http://schemas.openxmlformats.org/drawingml/2006/main">
              <a:graphicData uri="http://schemas.openxmlformats.org/drawingml/2006/picture">
                <pic:pic xmlns:pic="http://schemas.openxmlformats.org/drawingml/2006/picture">
                  <pic:nvPicPr>
                    <pic:cNvPr id="0" name="image82.png"/>
                    <pic:cNvPicPr preferRelativeResize="0"/>
                  </pic:nvPicPr>
                  <pic:blipFill>
                    <a:blip r:embed="rId13"/>
                    <a:srcRect/>
                    <a:stretch>
                      <a:fillRect/>
                    </a:stretch>
                  </pic:blipFill>
                  <pic:spPr>
                    <a:xfrm>
                      <a:off x="0" y="0"/>
                      <a:ext cx="8861303" cy="6258296"/>
                    </a:xfrm>
                    <a:prstGeom prst="rect">
                      <a:avLst/>
                    </a:prstGeom>
                    <a:ln/>
                  </pic:spPr>
                </pic:pic>
              </a:graphicData>
            </a:graphic>
          </wp:anchor>
        </w:drawing>
      </w:r>
      <w:bookmarkEnd w:id="13"/>
      <w:r w:rsidR="002E097D">
        <w:rPr>
          <w:color w:val="000000" w:themeColor="text1"/>
          <w:sz w:val="22"/>
          <w:szCs w:val="22"/>
        </w:rPr>
        <w:t>s.</w:t>
      </w:r>
    </w:p>
    <w:p w14:paraId="6D6B55E0" w14:textId="1F7CFA19" w:rsidR="00E63748" w:rsidRPr="00E63748" w:rsidRDefault="00C05714" w:rsidP="00E63748">
      <w:pPr>
        <w:pStyle w:val="Ttulo2"/>
        <w:numPr>
          <w:ilvl w:val="1"/>
          <w:numId w:val="2"/>
        </w:numPr>
      </w:pPr>
      <w:bookmarkStart w:id="14" w:name="_Toc159442583"/>
      <w:r>
        <w:lastRenderedPageBreak/>
        <w:t>Reuniones de coordinación con el Ministerio de Economía, Industria y Comercio (MEIC)</w:t>
      </w:r>
      <w:bookmarkEnd w:id="14"/>
    </w:p>
    <w:p w14:paraId="7869F5CF" w14:textId="77777777" w:rsidR="00E63748" w:rsidRDefault="00E63748" w:rsidP="00C05714">
      <w:pPr>
        <w:jc w:val="both"/>
        <w:rPr>
          <w:rFonts w:asciiTheme="minorHAnsi" w:hAnsiTheme="minorHAnsi" w:cstheme="minorHAnsi"/>
        </w:rPr>
      </w:pPr>
    </w:p>
    <w:p w14:paraId="3513301A" w14:textId="583806CE" w:rsidR="009139BB" w:rsidRPr="00E63748" w:rsidRDefault="00D81D52" w:rsidP="00C05714">
      <w:pPr>
        <w:jc w:val="both"/>
        <w:rPr>
          <w:rFonts w:asciiTheme="minorHAnsi" w:hAnsiTheme="minorHAnsi" w:cstheme="minorHAnsi"/>
        </w:rPr>
      </w:pPr>
      <w:r>
        <w:rPr>
          <w:rFonts w:asciiTheme="minorHAnsi" w:hAnsiTheme="minorHAnsi" w:cstheme="minorHAnsi"/>
        </w:rPr>
        <w:t>El MEIC tiene como como parte de su misión ser</w:t>
      </w:r>
      <w:r w:rsidRPr="000D3CE6">
        <w:rPr>
          <w:rFonts w:asciiTheme="minorHAnsi" w:hAnsiTheme="minorHAnsi" w:cstheme="minorHAnsi"/>
          <w:i/>
          <w:iCs/>
        </w:rPr>
        <w:t xml:space="preserve"> </w:t>
      </w:r>
      <w:r w:rsidRPr="00E63748">
        <w:rPr>
          <w:rFonts w:asciiTheme="minorHAnsi" w:hAnsiTheme="minorHAnsi" w:cstheme="minorHAnsi"/>
        </w:rPr>
        <w:t>el ente rector de las políticas públicas de Estado en materia de fomento a la iniciativa privada, desarrollo empresarial y fomento de la cultura empresarial para los sectores de industria, comercio y servicios, así como para el sector de las pequeñas y medianas empresas. </w:t>
      </w:r>
    </w:p>
    <w:p w14:paraId="3F9F350C" w14:textId="7FCC904A" w:rsidR="00C21555" w:rsidRDefault="00D81D52" w:rsidP="003C5B9F">
      <w:pPr>
        <w:jc w:val="both"/>
        <w:rPr>
          <w:rFonts w:asciiTheme="minorHAnsi" w:hAnsiTheme="minorHAnsi" w:cstheme="minorHAnsi"/>
        </w:rPr>
      </w:pPr>
      <w:r>
        <w:rPr>
          <w:rFonts w:asciiTheme="minorHAnsi" w:hAnsiTheme="minorHAnsi" w:cstheme="minorHAnsi"/>
        </w:rPr>
        <w:t>Por ese motivo, c</w:t>
      </w:r>
      <w:r w:rsidR="00C05714" w:rsidRPr="00C05714">
        <w:rPr>
          <w:rFonts w:asciiTheme="minorHAnsi" w:hAnsiTheme="minorHAnsi" w:cstheme="minorHAnsi"/>
        </w:rPr>
        <w:t xml:space="preserve">omo </w:t>
      </w:r>
      <w:r w:rsidR="006E72CD">
        <w:rPr>
          <w:rFonts w:asciiTheme="minorHAnsi" w:hAnsiTheme="minorHAnsi" w:cstheme="minorHAnsi"/>
        </w:rPr>
        <w:t>parte de la metodología ejecutada se realizaron reuniones de contextualización con el equipo del MEIC,</w:t>
      </w:r>
      <w:r w:rsidR="00C21555">
        <w:rPr>
          <w:rFonts w:asciiTheme="minorHAnsi" w:hAnsiTheme="minorHAnsi" w:cstheme="minorHAnsi"/>
        </w:rPr>
        <w:t xml:space="preserve"> para dar a conocer los alcances del proyecto y los objetivos relacionados con la consolidación de una hoja de ruta para la colocación de los productos de madera innovadores</w:t>
      </w:r>
      <w:r w:rsidR="003C5B9F">
        <w:rPr>
          <w:rFonts w:asciiTheme="minorHAnsi" w:hAnsiTheme="minorHAnsi" w:cstheme="minorHAnsi"/>
        </w:rPr>
        <w:t>, con madera de bosque secundario</w:t>
      </w:r>
      <w:r w:rsidR="00C21555">
        <w:rPr>
          <w:rFonts w:asciiTheme="minorHAnsi" w:hAnsiTheme="minorHAnsi" w:cstheme="minorHAnsi"/>
        </w:rPr>
        <w:t xml:space="preserve"> en el mercado local. </w:t>
      </w:r>
    </w:p>
    <w:p w14:paraId="7AAF4DAC" w14:textId="226BA470" w:rsidR="006E72CD" w:rsidRDefault="00C21555" w:rsidP="003C5B9F">
      <w:pPr>
        <w:jc w:val="both"/>
        <w:rPr>
          <w:rFonts w:asciiTheme="minorHAnsi" w:hAnsiTheme="minorHAnsi" w:cstheme="minorHAnsi"/>
        </w:rPr>
      </w:pPr>
      <w:r>
        <w:rPr>
          <w:rFonts w:asciiTheme="minorHAnsi" w:hAnsiTheme="minorHAnsi" w:cstheme="minorHAnsi"/>
        </w:rPr>
        <w:t>L</w:t>
      </w:r>
      <w:r w:rsidR="006E72CD">
        <w:rPr>
          <w:rFonts w:asciiTheme="minorHAnsi" w:hAnsiTheme="minorHAnsi" w:cstheme="minorHAnsi"/>
        </w:rPr>
        <w:t xml:space="preserve">a principal vinculación se dio con la </w:t>
      </w:r>
      <w:r w:rsidR="003C5B9F">
        <w:rPr>
          <w:rFonts w:asciiTheme="minorHAnsi" w:hAnsiTheme="minorHAnsi" w:cstheme="minorHAnsi"/>
        </w:rPr>
        <w:t>D</w:t>
      </w:r>
      <w:r w:rsidR="006E72CD">
        <w:rPr>
          <w:rFonts w:asciiTheme="minorHAnsi" w:hAnsiTheme="minorHAnsi" w:cstheme="minorHAnsi"/>
        </w:rPr>
        <w:t xml:space="preserve">irección de </w:t>
      </w:r>
      <w:r w:rsidR="003C5B9F">
        <w:rPr>
          <w:rFonts w:asciiTheme="minorHAnsi" w:hAnsiTheme="minorHAnsi" w:cstheme="minorHAnsi"/>
        </w:rPr>
        <w:t>I</w:t>
      </w:r>
      <w:r w:rsidR="006E72CD">
        <w:rPr>
          <w:rFonts w:asciiTheme="minorHAnsi" w:hAnsiTheme="minorHAnsi" w:cstheme="minorHAnsi"/>
        </w:rPr>
        <w:t xml:space="preserve">nvestigaciones </w:t>
      </w:r>
      <w:r w:rsidR="003C5B9F">
        <w:rPr>
          <w:rFonts w:asciiTheme="minorHAnsi" w:hAnsiTheme="minorHAnsi" w:cstheme="minorHAnsi"/>
        </w:rPr>
        <w:t>E</w:t>
      </w:r>
      <w:r w:rsidR="006E72CD">
        <w:rPr>
          <w:rFonts w:asciiTheme="minorHAnsi" w:hAnsiTheme="minorHAnsi" w:cstheme="minorHAnsi"/>
        </w:rPr>
        <w:t xml:space="preserve">conómicas y de </w:t>
      </w:r>
      <w:r w:rsidR="003C5B9F">
        <w:rPr>
          <w:rFonts w:asciiTheme="minorHAnsi" w:hAnsiTheme="minorHAnsi" w:cstheme="minorHAnsi"/>
        </w:rPr>
        <w:t>M</w:t>
      </w:r>
      <w:r w:rsidR="006E72CD">
        <w:rPr>
          <w:rFonts w:asciiTheme="minorHAnsi" w:hAnsiTheme="minorHAnsi" w:cstheme="minorHAnsi"/>
        </w:rPr>
        <w:t>ercados, con la participación de la economista Laura Barahona Carmona y el director Alexander Sánchez Sánchez</w:t>
      </w:r>
      <w:r w:rsidR="003C5B9F">
        <w:rPr>
          <w:rFonts w:asciiTheme="minorHAnsi" w:hAnsiTheme="minorHAnsi" w:cstheme="minorHAnsi"/>
        </w:rPr>
        <w:t xml:space="preserve">, además de la Dirección de Competencia, con la participación de la directora </w:t>
      </w:r>
      <w:r w:rsidR="003C5B9F" w:rsidRPr="003C5B9F">
        <w:rPr>
          <w:rFonts w:asciiTheme="minorHAnsi" w:hAnsiTheme="minorHAnsi" w:cstheme="minorHAnsi"/>
        </w:rPr>
        <w:t>Yanina Montero Bogantes</w:t>
      </w:r>
      <w:r w:rsidR="006E72CD">
        <w:rPr>
          <w:rFonts w:asciiTheme="minorHAnsi" w:hAnsiTheme="minorHAnsi" w:cstheme="minorHAnsi"/>
        </w:rPr>
        <w:t xml:space="preserve">. </w:t>
      </w:r>
      <w:r>
        <w:rPr>
          <w:rFonts w:asciiTheme="minorHAnsi" w:hAnsiTheme="minorHAnsi" w:cstheme="minorHAnsi"/>
        </w:rPr>
        <w:t xml:space="preserve"> </w:t>
      </w:r>
      <w:r w:rsidR="006E72CD">
        <w:rPr>
          <w:rFonts w:asciiTheme="minorHAnsi" w:hAnsiTheme="minorHAnsi" w:cstheme="minorHAnsi"/>
        </w:rPr>
        <w:t>Para una mejor integración de los alcances de los productos 1, 2 y 3 del proyecto con la hoja de ruta se contó con la participación</w:t>
      </w:r>
      <w:r w:rsidR="009139BB">
        <w:rPr>
          <w:rFonts w:asciiTheme="minorHAnsi" w:hAnsiTheme="minorHAnsi" w:cstheme="minorHAnsi"/>
        </w:rPr>
        <w:t xml:space="preserve"> de </w:t>
      </w:r>
      <w:r w:rsidR="003C5B9F">
        <w:rPr>
          <w:rFonts w:asciiTheme="minorHAnsi" w:hAnsiTheme="minorHAnsi" w:cstheme="minorHAnsi"/>
        </w:rPr>
        <w:t>los representantes del MEIC en los talleres y</w:t>
      </w:r>
      <w:r w:rsidR="006E72CD">
        <w:rPr>
          <w:rFonts w:asciiTheme="minorHAnsi" w:hAnsiTheme="minorHAnsi" w:cstheme="minorHAnsi"/>
        </w:rPr>
        <w:t xml:space="preserve"> procesos de validación de resultados</w:t>
      </w:r>
      <w:r w:rsidR="003C5B9F">
        <w:rPr>
          <w:rFonts w:asciiTheme="minorHAnsi" w:hAnsiTheme="minorHAnsi" w:cstheme="minorHAnsi"/>
        </w:rPr>
        <w:t>.</w:t>
      </w:r>
    </w:p>
    <w:p w14:paraId="3A3A2352" w14:textId="3A979A6A" w:rsidR="00E63748" w:rsidRDefault="003C5B9F" w:rsidP="00E63748">
      <w:pPr>
        <w:jc w:val="both"/>
        <w:rPr>
          <w:rFonts w:asciiTheme="minorHAnsi" w:hAnsiTheme="minorHAnsi" w:cstheme="minorHAnsi"/>
        </w:rPr>
      </w:pPr>
      <w:r>
        <w:rPr>
          <w:rFonts w:asciiTheme="minorHAnsi" w:hAnsiTheme="minorHAnsi" w:cstheme="minorHAnsi"/>
        </w:rPr>
        <w:t xml:space="preserve">En complemento se analizaron las Estrategias Nacionales de Bioeconomía y Economía Circular, destacando los criterios de aplicabilidad sobre los productos identificados en el producto 3, para ello se contó con la investigación desarrollada por la estudiante Mercedes Montero Murillo de la Universidad Nacional. Además, se analizó la Estrategia Nacional de Clúster, la </w:t>
      </w:r>
      <w:r w:rsidRPr="003C5B9F">
        <w:rPr>
          <w:rFonts w:asciiTheme="minorHAnsi" w:hAnsiTheme="minorHAnsi" w:cstheme="minorHAnsi"/>
        </w:rPr>
        <w:t>Política Nacional de Responsabilidad Social y Sostenibilidad (PNRS)</w:t>
      </w:r>
      <w:r>
        <w:rPr>
          <w:rFonts w:asciiTheme="minorHAnsi" w:hAnsiTheme="minorHAnsi" w:cstheme="minorHAnsi"/>
        </w:rPr>
        <w:t>,</w:t>
      </w:r>
      <w:r w:rsidRPr="003C5B9F">
        <w:rPr>
          <w:rFonts w:asciiTheme="minorHAnsi" w:hAnsiTheme="minorHAnsi" w:cstheme="minorHAnsi"/>
        </w:rPr>
        <w:t xml:space="preserve"> especialmente</w:t>
      </w:r>
      <w:r>
        <w:rPr>
          <w:rFonts w:asciiTheme="minorHAnsi" w:hAnsiTheme="minorHAnsi" w:cstheme="minorHAnsi"/>
        </w:rPr>
        <w:t xml:space="preserve"> los</w:t>
      </w:r>
      <w:r w:rsidRPr="003C5B9F">
        <w:rPr>
          <w:rFonts w:asciiTheme="minorHAnsi" w:hAnsiTheme="minorHAnsi" w:cstheme="minorHAnsi"/>
        </w:rPr>
        <w:t xml:space="preserve"> </w:t>
      </w:r>
      <w:r>
        <w:rPr>
          <w:rFonts w:asciiTheme="minorHAnsi" w:hAnsiTheme="minorHAnsi" w:cstheme="minorHAnsi"/>
        </w:rPr>
        <w:t>e</w:t>
      </w:r>
      <w:r w:rsidRPr="003C5B9F">
        <w:rPr>
          <w:rFonts w:asciiTheme="minorHAnsi" w:hAnsiTheme="minorHAnsi" w:cstheme="minorHAnsi"/>
        </w:rPr>
        <w:t>jes 5 y 6</w:t>
      </w:r>
      <w:r>
        <w:rPr>
          <w:rFonts w:asciiTheme="minorHAnsi" w:hAnsiTheme="minorHAnsi" w:cstheme="minorHAnsi"/>
        </w:rPr>
        <w:t>, y el Hu</w:t>
      </w:r>
      <w:r w:rsidRPr="003C5B9F">
        <w:rPr>
          <w:rFonts w:asciiTheme="minorHAnsi" w:hAnsiTheme="minorHAnsi" w:cstheme="minorHAnsi"/>
        </w:rPr>
        <w:t>b de Biomateriales</w:t>
      </w:r>
      <w:r>
        <w:rPr>
          <w:rFonts w:asciiTheme="minorHAnsi" w:hAnsiTheme="minorHAnsi" w:cstheme="minorHAnsi"/>
        </w:rPr>
        <w:t>.</w:t>
      </w:r>
    </w:p>
    <w:p w14:paraId="0FEAF1A0" w14:textId="77777777" w:rsidR="00E63748" w:rsidRPr="00C05714" w:rsidRDefault="00E63748" w:rsidP="00E63748">
      <w:pPr>
        <w:jc w:val="both"/>
        <w:rPr>
          <w:rFonts w:asciiTheme="minorHAnsi" w:hAnsiTheme="minorHAnsi" w:cstheme="minorHAnsi"/>
        </w:rPr>
      </w:pPr>
    </w:p>
    <w:p w14:paraId="546996D0" w14:textId="06EFDA55" w:rsidR="00BE4D92" w:rsidRDefault="009D2996" w:rsidP="00E63748">
      <w:pPr>
        <w:pStyle w:val="Ttulo2"/>
        <w:numPr>
          <w:ilvl w:val="1"/>
          <w:numId w:val="2"/>
        </w:numPr>
      </w:pPr>
      <w:bookmarkStart w:id="15" w:name="_Toc159442584"/>
      <w:r w:rsidRPr="009D2996">
        <w:t xml:space="preserve">Reuniones de </w:t>
      </w:r>
      <w:r w:rsidR="00C05714">
        <w:t>coordinación con la Promotora Comercial de Costa Rica (</w:t>
      </w:r>
      <w:r w:rsidRPr="009D2996">
        <w:t>PROCOMER</w:t>
      </w:r>
      <w:r w:rsidR="00C05714">
        <w:t>)</w:t>
      </w:r>
      <w:bookmarkEnd w:id="15"/>
    </w:p>
    <w:p w14:paraId="29A32D7A" w14:textId="77777777" w:rsidR="00E63748" w:rsidRDefault="00E63748" w:rsidP="00C05714">
      <w:pPr>
        <w:jc w:val="both"/>
      </w:pPr>
    </w:p>
    <w:p w14:paraId="46EAC606" w14:textId="43442DF0" w:rsidR="003C5B9F" w:rsidRDefault="003C5B9F" w:rsidP="00C05714">
      <w:pPr>
        <w:jc w:val="both"/>
      </w:pPr>
      <w:r>
        <w:t xml:space="preserve">Para el caso del vínculo con PROCOMER también </w:t>
      </w:r>
      <w:r w:rsidRPr="003C5B9F">
        <w:t>se realizaron reuniones de contextualización con el equipo</w:t>
      </w:r>
      <w:r>
        <w:t xml:space="preserve"> de inteligencia comercial y la sede regional Chorotega</w:t>
      </w:r>
      <w:r w:rsidRPr="003C5B9F">
        <w:t>, para dar a conocer los alcances del proyecto y los objetivos relacionados con la consolidación de una hoja de ruta para la colocación de los productos de madera innovadores, con madera de bosque secundario en el mercado local.</w:t>
      </w:r>
    </w:p>
    <w:p w14:paraId="74E85CF6" w14:textId="76C014ED" w:rsidR="00E63748" w:rsidRDefault="003C5B9F" w:rsidP="00E63748">
      <w:pPr>
        <w:jc w:val="both"/>
        <w:rPr>
          <w:rFonts w:asciiTheme="minorHAnsi" w:hAnsiTheme="minorHAnsi" w:cstheme="minorHAnsi"/>
        </w:rPr>
      </w:pPr>
      <w:r>
        <w:rPr>
          <w:rFonts w:asciiTheme="minorHAnsi" w:hAnsiTheme="minorHAnsi" w:cstheme="minorHAnsi"/>
        </w:rPr>
        <w:t>La principal vinculación se dio con los especialistas Erick Apuy</w:t>
      </w:r>
      <w:r w:rsidR="002E097D">
        <w:rPr>
          <w:rFonts w:asciiTheme="minorHAnsi" w:hAnsiTheme="minorHAnsi" w:cstheme="minorHAnsi"/>
        </w:rPr>
        <w:t xml:space="preserve"> y</w:t>
      </w:r>
      <w:r>
        <w:rPr>
          <w:rFonts w:asciiTheme="minorHAnsi" w:hAnsiTheme="minorHAnsi" w:cstheme="minorHAnsi"/>
        </w:rPr>
        <w:t xml:space="preserve"> Enrique Ulloa</w:t>
      </w:r>
      <w:r w:rsidR="002E097D">
        <w:rPr>
          <w:rFonts w:asciiTheme="minorHAnsi" w:hAnsiTheme="minorHAnsi" w:cstheme="minorHAnsi"/>
        </w:rPr>
        <w:t xml:space="preserve"> del departamento de Inteligencia comercial</w:t>
      </w:r>
      <w:r>
        <w:rPr>
          <w:rFonts w:asciiTheme="minorHAnsi" w:hAnsiTheme="minorHAnsi" w:cstheme="minorHAnsi"/>
        </w:rPr>
        <w:t>,</w:t>
      </w:r>
      <w:r w:rsidR="002E097D">
        <w:rPr>
          <w:rFonts w:asciiTheme="minorHAnsi" w:hAnsiTheme="minorHAnsi" w:cstheme="minorHAnsi"/>
        </w:rPr>
        <w:t xml:space="preserve"> además de</w:t>
      </w:r>
      <w:r>
        <w:rPr>
          <w:rFonts w:asciiTheme="minorHAnsi" w:hAnsiTheme="minorHAnsi" w:cstheme="minorHAnsi"/>
        </w:rPr>
        <w:t xml:space="preserve"> Fabiola Hidalgo Mora e Irene Álvarez Montero</w:t>
      </w:r>
      <w:r w:rsidR="002E097D">
        <w:rPr>
          <w:rFonts w:asciiTheme="minorHAnsi" w:hAnsiTheme="minorHAnsi" w:cstheme="minorHAnsi"/>
        </w:rPr>
        <w:t>, ambas promotoras de sedes regionales. Esta vinculación permitió generar una propuesta de gestión de los negocios forestales con capacidad exportable denominado en este documento como “semillero de empresas forestales”.</w:t>
      </w:r>
    </w:p>
    <w:p w14:paraId="4BD7BE57" w14:textId="77777777" w:rsidR="00E63748" w:rsidRPr="00E63748" w:rsidRDefault="00E63748" w:rsidP="00E63748">
      <w:pPr>
        <w:jc w:val="both"/>
        <w:rPr>
          <w:rFonts w:asciiTheme="minorHAnsi" w:hAnsiTheme="minorHAnsi" w:cstheme="minorHAnsi"/>
        </w:rPr>
      </w:pPr>
    </w:p>
    <w:p w14:paraId="3DAF55C7" w14:textId="7F0404C5" w:rsidR="00C05714" w:rsidRPr="00E63748" w:rsidRDefault="00C05714" w:rsidP="00E63748">
      <w:pPr>
        <w:pStyle w:val="Ttulo2"/>
        <w:numPr>
          <w:ilvl w:val="1"/>
          <w:numId w:val="2"/>
        </w:numPr>
      </w:pPr>
      <w:bookmarkStart w:id="16" w:name="_Toc159442585"/>
      <w:r w:rsidRPr="00C05714">
        <w:lastRenderedPageBreak/>
        <w:t>Definición de objetivos, metas y alcances para la</w:t>
      </w:r>
      <w:r>
        <w:t>s</w:t>
      </w:r>
      <w:r w:rsidRPr="00C05714">
        <w:t xml:space="preserve"> hoja</w:t>
      </w:r>
      <w:r>
        <w:t>s</w:t>
      </w:r>
      <w:r w:rsidRPr="00C05714">
        <w:t xml:space="preserve"> de ruta</w:t>
      </w:r>
      <w:bookmarkEnd w:id="16"/>
    </w:p>
    <w:p w14:paraId="443CB2D0" w14:textId="77777777" w:rsidR="00E63748" w:rsidRDefault="00E63748" w:rsidP="00C05714">
      <w:pPr>
        <w:jc w:val="both"/>
      </w:pPr>
    </w:p>
    <w:p w14:paraId="486AA0A1" w14:textId="5991AA3C" w:rsidR="00C05714" w:rsidRDefault="00C05714" w:rsidP="00C05714">
      <w:pPr>
        <w:jc w:val="both"/>
      </w:pPr>
      <w:r w:rsidRPr="00C05714">
        <w:t>A esta serie de actividades s</w:t>
      </w:r>
      <w:r w:rsidR="002E097D">
        <w:t>e complementó para la definición de los objetivos, metas y alcances de cada hoja de ruta</w:t>
      </w:r>
      <w:r w:rsidRPr="00C05714">
        <w:t>.</w:t>
      </w:r>
      <w:r w:rsidR="002E097D">
        <w:t xml:space="preserve"> Así como el rol de la CFMI en la sostenibilidad de los resultados estratégicos en el mediano y largo plazo.</w:t>
      </w:r>
    </w:p>
    <w:p w14:paraId="4821A84A" w14:textId="77777777" w:rsidR="00C05714" w:rsidRDefault="00C05714" w:rsidP="00C05714">
      <w:pPr>
        <w:jc w:val="both"/>
      </w:pPr>
    </w:p>
    <w:p w14:paraId="32DE801E" w14:textId="77777777" w:rsidR="00E63748" w:rsidRDefault="00E63748" w:rsidP="00C05714">
      <w:pPr>
        <w:jc w:val="both"/>
      </w:pPr>
    </w:p>
    <w:p w14:paraId="3898FDC1" w14:textId="77777777" w:rsidR="00E63748" w:rsidRDefault="00E63748" w:rsidP="00C05714">
      <w:pPr>
        <w:jc w:val="both"/>
      </w:pPr>
    </w:p>
    <w:p w14:paraId="2AAB8101" w14:textId="77777777" w:rsidR="00E63748" w:rsidRDefault="00E63748" w:rsidP="00C05714">
      <w:pPr>
        <w:jc w:val="both"/>
      </w:pPr>
    </w:p>
    <w:p w14:paraId="62221F2D" w14:textId="77777777" w:rsidR="00E63748" w:rsidRDefault="00E63748" w:rsidP="00C05714">
      <w:pPr>
        <w:jc w:val="both"/>
      </w:pPr>
    </w:p>
    <w:p w14:paraId="51BF5091" w14:textId="77777777" w:rsidR="00E63748" w:rsidRDefault="00E63748" w:rsidP="00C05714">
      <w:pPr>
        <w:jc w:val="both"/>
      </w:pPr>
    </w:p>
    <w:p w14:paraId="615C07BC" w14:textId="77777777" w:rsidR="00E63748" w:rsidRDefault="00E63748" w:rsidP="00C05714">
      <w:pPr>
        <w:jc w:val="both"/>
      </w:pPr>
    </w:p>
    <w:p w14:paraId="20DB9D37" w14:textId="77777777" w:rsidR="00E63748" w:rsidRDefault="00E63748" w:rsidP="00C05714">
      <w:pPr>
        <w:jc w:val="both"/>
      </w:pPr>
    </w:p>
    <w:p w14:paraId="522BA672" w14:textId="77777777" w:rsidR="00E63748" w:rsidRDefault="00E63748" w:rsidP="00C05714">
      <w:pPr>
        <w:jc w:val="both"/>
      </w:pPr>
    </w:p>
    <w:p w14:paraId="7BE012FA" w14:textId="77777777" w:rsidR="00E63748" w:rsidRDefault="00E63748" w:rsidP="00C05714">
      <w:pPr>
        <w:jc w:val="both"/>
      </w:pPr>
    </w:p>
    <w:p w14:paraId="249F7889" w14:textId="77777777" w:rsidR="00E63748" w:rsidRDefault="00E63748" w:rsidP="00C05714">
      <w:pPr>
        <w:jc w:val="both"/>
      </w:pPr>
    </w:p>
    <w:p w14:paraId="62EA2323" w14:textId="77777777" w:rsidR="00E63748" w:rsidRDefault="00E63748" w:rsidP="00C05714">
      <w:pPr>
        <w:jc w:val="both"/>
      </w:pPr>
    </w:p>
    <w:p w14:paraId="7582A70C" w14:textId="77777777" w:rsidR="00E63748" w:rsidRDefault="00E63748" w:rsidP="00C05714">
      <w:pPr>
        <w:jc w:val="both"/>
      </w:pPr>
    </w:p>
    <w:p w14:paraId="50C391F7" w14:textId="77777777" w:rsidR="00E63748" w:rsidRDefault="00E63748" w:rsidP="00C05714">
      <w:pPr>
        <w:jc w:val="both"/>
      </w:pPr>
    </w:p>
    <w:p w14:paraId="7BF78F42" w14:textId="77777777" w:rsidR="00E63748" w:rsidRDefault="00E63748" w:rsidP="00C05714">
      <w:pPr>
        <w:jc w:val="both"/>
      </w:pPr>
    </w:p>
    <w:p w14:paraId="4B12871A" w14:textId="77777777" w:rsidR="00E63748" w:rsidRDefault="00E63748" w:rsidP="00C05714">
      <w:pPr>
        <w:jc w:val="both"/>
      </w:pPr>
    </w:p>
    <w:p w14:paraId="25E0E412" w14:textId="77777777" w:rsidR="00E63748" w:rsidRDefault="00E63748" w:rsidP="00C05714">
      <w:pPr>
        <w:jc w:val="both"/>
      </w:pPr>
    </w:p>
    <w:p w14:paraId="6BEBF705" w14:textId="77777777" w:rsidR="00E63748" w:rsidRDefault="00E63748" w:rsidP="00C05714">
      <w:pPr>
        <w:jc w:val="both"/>
      </w:pPr>
    </w:p>
    <w:p w14:paraId="17403671" w14:textId="77777777" w:rsidR="00E63748" w:rsidRDefault="00E63748" w:rsidP="00C05714">
      <w:pPr>
        <w:jc w:val="both"/>
      </w:pPr>
    </w:p>
    <w:p w14:paraId="40B1D3C6" w14:textId="77777777" w:rsidR="00E63748" w:rsidRDefault="00E63748" w:rsidP="00C05714">
      <w:pPr>
        <w:jc w:val="both"/>
      </w:pPr>
    </w:p>
    <w:p w14:paraId="1AEFDE49" w14:textId="77777777" w:rsidR="00E63748" w:rsidRDefault="00E63748" w:rsidP="00C05714">
      <w:pPr>
        <w:jc w:val="both"/>
      </w:pPr>
    </w:p>
    <w:p w14:paraId="06148EDA" w14:textId="77777777" w:rsidR="00E63748" w:rsidRDefault="00E63748" w:rsidP="00C05714">
      <w:pPr>
        <w:jc w:val="both"/>
      </w:pPr>
    </w:p>
    <w:p w14:paraId="79DEB00E" w14:textId="77777777" w:rsidR="00E63748" w:rsidRDefault="00E63748" w:rsidP="00C05714">
      <w:pPr>
        <w:jc w:val="both"/>
      </w:pPr>
    </w:p>
    <w:p w14:paraId="455E3092" w14:textId="77777777" w:rsidR="00E63748" w:rsidRDefault="00E63748" w:rsidP="00C05714">
      <w:pPr>
        <w:jc w:val="both"/>
      </w:pPr>
    </w:p>
    <w:p w14:paraId="109224FD" w14:textId="7170E5B6" w:rsidR="0093386A" w:rsidRDefault="00CD069C" w:rsidP="0093386A">
      <w:pPr>
        <w:pStyle w:val="Ttulo1"/>
        <w:numPr>
          <w:ilvl w:val="0"/>
          <w:numId w:val="2"/>
        </w:numPr>
        <w:rPr>
          <w:rFonts w:eastAsia="Calibri"/>
        </w:rPr>
      </w:pPr>
      <w:bookmarkStart w:id="17" w:name="_Toc159442586"/>
      <w:r>
        <w:rPr>
          <w:rFonts w:eastAsia="Calibri"/>
        </w:rPr>
        <w:lastRenderedPageBreak/>
        <w:t>P</w:t>
      </w:r>
      <w:r w:rsidR="0093386A">
        <w:rPr>
          <w:rFonts w:eastAsia="Calibri"/>
        </w:rPr>
        <w:t>resentación de datos</w:t>
      </w:r>
      <w:bookmarkEnd w:id="17"/>
      <w:r w:rsidR="0093386A">
        <w:rPr>
          <w:rFonts w:eastAsia="Calibri"/>
        </w:rPr>
        <w:t xml:space="preserve"> </w:t>
      </w:r>
    </w:p>
    <w:p w14:paraId="6577DD1D" w14:textId="77777777" w:rsidR="0093386A" w:rsidRDefault="0093386A" w:rsidP="0093386A"/>
    <w:p w14:paraId="0F099A07" w14:textId="4810D2F0" w:rsidR="0093386A" w:rsidRDefault="002E097D" w:rsidP="00F67F58">
      <w:pPr>
        <w:pStyle w:val="Ttulo2"/>
        <w:jc w:val="both"/>
      </w:pPr>
      <w:bookmarkStart w:id="18" w:name="_Toc159442587"/>
      <w:r>
        <w:t xml:space="preserve">3.1 Contextualización sobre la institucionalidad comercial </w:t>
      </w:r>
      <w:r w:rsidR="00F67F58">
        <w:t xml:space="preserve">y empresarial </w:t>
      </w:r>
      <w:r>
        <w:t>costarricense</w:t>
      </w:r>
      <w:bookmarkEnd w:id="18"/>
    </w:p>
    <w:p w14:paraId="45A2B1A9" w14:textId="77777777" w:rsidR="0093386A" w:rsidRDefault="0093386A" w:rsidP="0093386A"/>
    <w:p w14:paraId="179744D8" w14:textId="2D977807" w:rsidR="00790E9F" w:rsidRDefault="002E097D" w:rsidP="003A4274">
      <w:pPr>
        <w:jc w:val="both"/>
      </w:pPr>
      <w:r>
        <w:t xml:space="preserve">Para el desarrollo de los lineamientos es relevante </w:t>
      </w:r>
      <w:r w:rsidR="003A4274">
        <w:t xml:space="preserve">dar a </w:t>
      </w:r>
      <w:r>
        <w:t xml:space="preserve">conocer el marco institucional referente al ámbito comercial </w:t>
      </w:r>
      <w:r w:rsidR="003A4274">
        <w:t xml:space="preserve">y empresarial </w:t>
      </w:r>
      <w:r>
        <w:t>en el país, principalmente el MEIC, COMEX</w:t>
      </w:r>
      <w:r w:rsidR="000E283C">
        <w:t xml:space="preserve"> (Ministerio de Comercio Exterior)</w:t>
      </w:r>
      <w:r>
        <w:t xml:space="preserve"> y PROCOMER, como instancias rectoras en materia de dinámica y regulación del mercado local e internacional. </w:t>
      </w:r>
    </w:p>
    <w:p w14:paraId="48923AFC" w14:textId="77777777" w:rsidR="00B10B0E" w:rsidRPr="0093386A" w:rsidRDefault="00B10B0E" w:rsidP="003A4274">
      <w:pPr>
        <w:jc w:val="both"/>
      </w:pPr>
    </w:p>
    <w:p w14:paraId="60215E8E" w14:textId="27DCF1F0" w:rsidR="00265070" w:rsidRPr="002E097D" w:rsidRDefault="002E097D" w:rsidP="002E097D">
      <w:pPr>
        <w:pStyle w:val="Ttulo3"/>
      </w:pPr>
      <w:bookmarkStart w:id="19" w:name="_Toc159442588"/>
      <w:r>
        <w:t xml:space="preserve">3.1.1 </w:t>
      </w:r>
      <w:r w:rsidR="00265070" w:rsidRPr="002E097D">
        <w:t>Ministerio de Economía, Industria y Comercio</w:t>
      </w:r>
      <w:r w:rsidR="000F3EA2">
        <w:t xml:space="preserve"> (MEIC)</w:t>
      </w:r>
      <w:bookmarkEnd w:id="19"/>
    </w:p>
    <w:p w14:paraId="783E0229" w14:textId="77777777" w:rsidR="002E097D" w:rsidRDefault="002E097D" w:rsidP="006E72CD">
      <w:pPr>
        <w:jc w:val="both"/>
        <w:rPr>
          <w:rFonts w:asciiTheme="majorHAnsi" w:eastAsiaTheme="majorEastAsia" w:hAnsiTheme="majorHAnsi" w:cstheme="majorBidi"/>
          <w:color w:val="1F3763" w:themeColor="accent1" w:themeShade="7F"/>
          <w:sz w:val="24"/>
          <w:szCs w:val="24"/>
        </w:rPr>
      </w:pPr>
    </w:p>
    <w:p w14:paraId="44BAB40E" w14:textId="27AFDDD6" w:rsidR="00C05714" w:rsidRPr="00BE4D92" w:rsidRDefault="00C05714" w:rsidP="006E72CD">
      <w:pPr>
        <w:jc w:val="both"/>
      </w:pPr>
      <w:r w:rsidRPr="00BE4D92">
        <w:t xml:space="preserve">El MEIC es </w:t>
      </w:r>
      <w:r w:rsidR="000F3EA2">
        <w:t xml:space="preserve">la institución </w:t>
      </w:r>
      <w:r w:rsidRPr="00BE4D92">
        <w:t>que propicia y apoya el desarrollo económico y social del país a través de políticas que facilitan un adecuado funcionamiento del mercado, la protección de los consumidores, la mejora regulatoria, el fomento de la competitividad y el impulso de la actividad empresarial.</w:t>
      </w:r>
    </w:p>
    <w:p w14:paraId="499A60E4" w14:textId="6D6CD0FC" w:rsidR="00C05714" w:rsidRPr="00BE4D92" w:rsidRDefault="000F3EA2" w:rsidP="006E72CD">
      <w:pPr>
        <w:jc w:val="both"/>
      </w:pPr>
      <w:r>
        <w:t>F</w:t>
      </w:r>
      <w:r w:rsidR="00C05714" w:rsidRPr="00BE4D92">
        <w:t>ue creado en junio de 1977, mediante la Ley Nº 6054, en la cual se le da como competencia participar en la formulación de la política económica del Gobierno y en la planificación nacional en los campos de su competencia, así como ser el ente rector de las políticas públicas de Estado en materia de fomento a la iniciativa privada, desarrollo empresarial y fomento de la cultura empresarial para los sectores de industria, comercio y servicios, así como para el sector de las pequeñas y medianas empresas.</w:t>
      </w:r>
    </w:p>
    <w:p w14:paraId="4283E292" w14:textId="77777777" w:rsidR="00C05714" w:rsidRPr="00BE4D92" w:rsidRDefault="00C05714" w:rsidP="006E72CD">
      <w:pPr>
        <w:jc w:val="both"/>
      </w:pPr>
      <w:r w:rsidRPr="00BE4D92">
        <w:t>Es así, como el MEIC concentra sus esfuerzos y estrategias para el sector industrial y empresarial dentro del territorio costarricense, tratando de crear un ambiente adecuado para los negocios dentro del país, por medio de políticas.</w:t>
      </w:r>
    </w:p>
    <w:p w14:paraId="542F95C5" w14:textId="2D5A7F2A" w:rsidR="000F3EA2" w:rsidRDefault="000F3EA2" w:rsidP="00B10B0E">
      <w:pPr>
        <w:jc w:val="both"/>
      </w:pPr>
      <w:r>
        <w:t xml:space="preserve">En el anexo 1 se describe el organigrama del </w:t>
      </w:r>
      <w:r w:rsidR="000165C9" w:rsidRPr="006E72CD">
        <w:t>MEIC</w:t>
      </w:r>
      <w:r>
        <w:t>, es importante</w:t>
      </w:r>
      <w:r w:rsidR="004970AD">
        <w:t xml:space="preserve"> destacar que dentro de la estructura institucional existen cinco niveles organizativos, el nivel político, las instancias asesoras, el nivel directivo, el operativo (departamentos) y los organismos desconcentrados. En el caso particular de este proyecto el nivel político, directivo y operativo son los de mayor relevancia, priorizando temas de mejora regulatoria (vinculados con el producto 2 en mejora de la gobernanza y la normativa vigente), la atención a las Pequeñas y Medianas Empresas (PYMES) y el área económica y de mercado.</w:t>
      </w:r>
    </w:p>
    <w:p w14:paraId="346006CB" w14:textId="77777777" w:rsidR="00B10B0E" w:rsidRPr="006E72CD" w:rsidRDefault="00B10B0E" w:rsidP="00B10B0E">
      <w:pPr>
        <w:jc w:val="both"/>
      </w:pPr>
    </w:p>
    <w:p w14:paraId="75D6DDDD" w14:textId="296EB6BE" w:rsidR="000F3EA2" w:rsidRPr="004970AD" w:rsidRDefault="000F3EA2" w:rsidP="000F3EA2">
      <w:pPr>
        <w:pStyle w:val="Ttulo3"/>
      </w:pPr>
      <w:bookmarkStart w:id="20" w:name="_Toc159442589"/>
      <w:r w:rsidRPr="004970AD">
        <w:t>3.1.2 Ministerio de Comercio Exterior</w:t>
      </w:r>
      <w:r w:rsidR="004970AD" w:rsidRPr="004970AD">
        <w:t xml:space="preserve"> (COMEX)</w:t>
      </w:r>
      <w:bookmarkEnd w:id="20"/>
    </w:p>
    <w:p w14:paraId="6518E804" w14:textId="77777777" w:rsidR="004970AD" w:rsidRDefault="004970AD" w:rsidP="004970AD"/>
    <w:p w14:paraId="6FFBAD84" w14:textId="03CD4B19" w:rsidR="002B1105" w:rsidRDefault="004970AD" w:rsidP="00B10B0E">
      <w:pPr>
        <w:jc w:val="both"/>
      </w:pPr>
      <w:r w:rsidRPr="004970AD">
        <w:t xml:space="preserve">Por </w:t>
      </w:r>
      <w:r>
        <w:t xml:space="preserve">otro lado, COMEX </w:t>
      </w:r>
      <w:r w:rsidR="002B1105">
        <w:t>es el ente rector del sector de comercio exterior del país, fue creado mediante la Ley N° 7638 del 30 de octubre de 1996, denominada Ley de Creación del Ministerio de Comercio Exterior y la Promotora del Comercio Exterior de Costa Rica.</w:t>
      </w:r>
    </w:p>
    <w:p w14:paraId="3A2BB208" w14:textId="1AF10857" w:rsidR="004970AD" w:rsidRDefault="002B1105" w:rsidP="002B1105">
      <w:pPr>
        <w:jc w:val="both"/>
      </w:pPr>
      <w:r>
        <w:lastRenderedPageBreak/>
        <w:t>Adicionalmente, se promulgó la Ley para las Negociaciones Comerciales y la Administración de Tratados de Libre Comercio, Acuerdos e Instrumentos del Comercio Exterior (Ley 8056, del 21 de diciembre del 2000), que viene a complementar las funciones del COMEX en calidad de órgano responsable de definir y dirigir la política comercial externa y de inversión extranjera del país</w:t>
      </w:r>
    </w:p>
    <w:p w14:paraId="20637246" w14:textId="74CE43D3" w:rsidR="002B1105" w:rsidRDefault="002B1105" w:rsidP="00B10B0E">
      <w:pPr>
        <w:jc w:val="both"/>
      </w:pPr>
      <w:r w:rsidRPr="002B1105">
        <w:t>Además, cumple u</w:t>
      </w:r>
      <w:r>
        <w:t xml:space="preserve">na serie de funciones vinculadas con otros ministerios, tal es el caso de la definición de la política arancelaria, la representación en foros internacionales como la Organización Mundial de Comercio (OMC) y </w:t>
      </w:r>
      <w:r w:rsidRPr="002B1105">
        <w:t>demás foros comerciales internacionales donde se discutan tratados, convenios y, en general, temas de comercio e inversión</w:t>
      </w:r>
      <w:r>
        <w:t>.  La estructura organizativa de COMEX se compone de los mismos niveles organizativos del MEIC</w:t>
      </w:r>
      <w:r w:rsidR="00B10B0E">
        <w:t xml:space="preserve"> (anexo2), para efecto de este informe y los resultados del proyecto es relevante describir a PROCOMER, entidad encargada de apoyar técnica y financieramente al COMEX para administrar los regímenes especiales de exportación, promover los intereses comerciales del país en el exterior y defenderlos.</w:t>
      </w:r>
    </w:p>
    <w:p w14:paraId="646A8D79" w14:textId="77777777" w:rsidR="00B10B0E" w:rsidRPr="002B1105" w:rsidRDefault="00B10B0E" w:rsidP="00B10B0E">
      <w:pPr>
        <w:jc w:val="both"/>
      </w:pPr>
    </w:p>
    <w:p w14:paraId="1298ED5E" w14:textId="2FFFA148" w:rsidR="00C05714" w:rsidRPr="002B1105" w:rsidRDefault="000F3EA2" w:rsidP="000F3EA2">
      <w:pPr>
        <w:pStyle w:val="Ttulo3"/>
      </w:pPr>
      <w:bookmarkStart w:id="21" w:name="_Toc159442590"/>
      <w:r w:rsidRPr="002B1105">
        <w:t xml:space="preserve">3.1.3 </w:t>
      </w:r>
      <w:r w:rsidR="00265070" w:rsidRPr="002B1105">
        <w:t xml:space="preserve">Promotora de Comercio Exterior </w:t>
      </w:r>
      <w:r w:rsidR="00C54E34" w:rsidRPr="002B1105">
        <w:t>de Costa Rica</w:t>
      </w:r>
      <w:r w:rsidRPr="002B1105">
        <w:t xml:space="preserve"> (PROCOMER)</w:t>
      </w:r>
      <w:bookmarkEnd w:id="21"/>
    </w:p>
    <w:p w14:paraId="05F98CB0" w14:textId="77777777" w:rsidR="000F3EA2" w:rsidRPr="002B1105" w:rsidRDefault="000F3EA2" w:rsidP="00C05714"/>
    <w:p w14:paraId="0FD6E9E5" w14:textId="66C23ED6" w:rsidR="00C05714" w:rsidRDefault="00C05714" w:rsidP="00B10B0E">
      <w:pPr>
        <w:jc w:val="both"/>
      </w:pPr>
      <w:r>
        <w:t>PROCOMER es una institución pública no estatal</w:t>
      </w:r>
      <w:r w:rsidR="00B10B0E">
        <w:t>,</w:t>
      </w:r>
      <w:r>
        <w:t xml:space="preserve"> que funge como institución de apoyo </w:t>
      </w:r>
      <w:r w:rsidRPr="00C54E34">
        <w:t>para las empresas costarricenses, especialmente para las pequeñas y medianas empresas (PYME), en todo su proceso de internacionalización para conquistar mercados internacionales.</w:t>
      </w:r>
    </w:p>
    <w:p w14:paraId="42D7B941" w14:textId="77777777" w:rsidR="00C05714" w:rsidRDefault="00C05714" w:rsidP="00B10B0E">
      <w:pPr>
        <w:jc w:val="both"/>
      </w:pPr>
      <w:r w:rsidRPr="00C54E34">
        <w:t>Fue creada en 1996, mediante Ley de la República Nº 7638, para asumir las funciones que- hasta ese momento- realizaban la Corporación de Zonas Francas de Exportación; el Centro para la Promoción de Exportaciones e Inversiones (CENPRO) y el Consejo Nacional de Inversiones.</w:t>
      </w:r>
    </w:p>
    <w:p w14:paraId="68EABBE4" w14:textId="77777777" w:rsidR="00C05714" w:rsidRDefault="00C05714" w:rsidP="00B10B0E">
      <w:pPr>
        <w:jc w:val="both"/>
      </w:pPr>
      <w:r>
        <w:t>Dentro de las responsabilidades de PROCOMER se destacan d</w:t>
      </w:r>
      <w:r w:rsidRPr="00AB537F">
        <w:t>iseñar y coordinar programas relativos a exportaciones e inversiones</w:t>
      </w:r>
      <w:r>
        <w:t>, a</w:t>
      </w:r>
      <w:r w:rsidRPr="00AB537F">
        <w:t>poyar técnica y financieramente al Ministerio de Comercio Exterior (COMEX) para administrar los regímenes especiales de exportación</w:t>
      </w:r>
      <w:r>
        <w:t>, p</w:t>
      </w:r>
      <w:r w:rsidRPr="00AB537F">
        <w:t>romover y proteger los intereses comerciales del país en el exterior</w:t>
      </w:r>
      <w:r>
        <w:t>, c</w:t>
      </w:r>
      <w:r w:rsidRPr="00AB537F">
        <w:t>entralizar y agilizar los trámites de importación y exportación</w:t>
      </w:r>
      <w:r>
        <w:t xml:space="preserve"> y también d</w:t>
      </w:r>
      <w:r w:rsidRPr="00AB537F">
        <w:t>ar seguimiento a las estadísticas del comercio exterior.</w:t>
      </w:r>
    </w:p>
    <w:p w14:paraId="10370C66" w14:textId="4EE796DC" w:rsidR="00C05714" w:rsidRDefault="00F67F58" w:rsidP="00B10B0E">
      <w:pPr>
        <w:jc w:val="both"/>
      </w:pPr>
      <w:r>
        <w:t>T</w:t>
      </w:r>
      <w:r w:rsidR="00C05714">
        <w:t>iene por propósito g</w:t>
      </w:r>
      <w:r w:rsidR="00C05714" w:rsidRPr="0071292B">
        <w:t>enerar bienestar incluyente y sostenible en todas las regiones de Costa Rica a través de la creación de más empresas exportadoras, la diversificación de las exportaciones y la inversión extranjera directa, los encadenamientos de pymes con grandes exportadoras, el redireccionamiento del talento humano necesario para producción y la agilización del comercio.</w:t>
      </w:r>
      <w:r w:rsidR="00C05714" w:rsidRPr="00C05714">
        <w:t xml:space="preserve"> </w:t>
      </w:r>
      <w:r w:rsidR="00C05714">
        <w:t>Es así como la figura de PROCOMER es relevante para lograr posicionar la marca país y colocar productos en el mundo, teniendo como su principal objetivo movilizar productos mediante exportación.</w:t>
      </w:r>
    </w:p>
    <w:p w14:paraId="3B9A472C" w14:textId="23077EFD" w:rsidR="00F57EF5" w:rsidRDefault="00F67F58" w:rsidP="00F67F58">
      <w:pPr>
        <w:jc w:val="both"/>
      </w:pPr>
      <w:r>
        <w:t xml:space="preserve">En cuanto a su estructura organizativa (anexo 3) a diferencia de los ministerios cuenta con gerencias lo cual le permite una operatividad más empresarial y atinente a la rapidez con la que cambia el entorno de mercado. </w:t>
      </w:r>
    </w:p>
    <w:p w14:paraId="149CD627" w14:textId="77777777" w:rsidR="000F3EA2" w:rsidRDefault="000F3EA2" w:rsidP="00AB537F">
      <w:pPr>
        <w:jc w:val="both"/>
      </w:pPr>
    </w:p>
    <w:p w14:paraId="0C106EFE" w14:textId="77777777" w:rsidR="00F67F58" w:rsidRDefault="00F67F58" w:rsidP="00AB537F">
      <w:pPr>
        <w:jc w:val="both"/>
      </w:pPr>
    </w:p>
    <w:p w14:paraId="1D748672" w14:textId="77777777" w:rsidR="00F67F58" w:rsidRDefault="00F67F58" w:rsidP="00AB537F">
      <w:pPr>
        <w:jc w:val="both"/>
      </w:pPr>
    </w:p>
    <w:p w14:paraId="4A485949" w14:textId="68DBB68D" w:rsidR="00F67F58" w:rsidRDefault="00F67F58" w:rsidP="00F67F58">
      <w:pPr>
        <w:pStyle w:val="Ttulo2"/>
        <w:jc w:val="both"/>
      </w:pPr>
      <w:bookmarkStart w:id="22" w:name="_Toc159442591"/>
      <w:r>
        <w:lastRenderedPageBreak/>
        <w:t xml:space="preserve">3.2 </w:t>
      </w:r>
      <w:r w:rsidR="000B4EFE">
        <w:t>Descripción de los</w:t>
      </w:r>
      <w:r w:rsidR="00041D87">
        <w:t xml:space="preserve"> requisitos</w:t>
      </w:r>
      <w:r>
        <w:t xml:space="preserve"> nacionales en materia comercial</w:t>
      </w:r>
      <w:bookmarkEnd w:id="22"/>
    </w:p>
    <w:p w14:paraId="0332ADF6" w14:textId="77777777" w:rsidR="00F67F58" w:rsidRDefault="00F67F58" w:rsidP="00AB537F">
      <w:pPr>
        <w:jc w:val="both"/>
      </w:pPr>
    </w:p>
    <w:p w14:paraId="06D95B49" w14:textId="3490A762" w:rsidR="00F67F58" w:rsidRDefault="00FB741F" w:rsidP="00AB537F">
      <w:pPr>
        <w:jc w:val="both"/>
      </w:pPr>
      <w:r>
        <w:t xml:space="preserve">Con base en el análisis de las estrategias nacionales se identificaron una serie de requisitos y lineamientos que deben contemplar los productos de madera de bosque secundario antes de ingresar al mercado local o internacional. </w:t>
      </w:r>
    </w:p>
    <w:p w14:paraId="243A3A28" w14:textId="77777777" w:rsidR="00FB741F" w:rsidRDefault="00FB741F" w:rsidP="00AB537F">
      <w:pPr>
        <w:jc w:val="both"/>
      </w:pPr>
    </w:p>
    <w:p w14:paraId="791427B4" w14:textId="07CBF79E" w:rsidR="00FB741F" w:rsidRDefault="00FB741F" w:rsidP="00FB741F">
      <w:pPr>
        <w:pStyle w:val="Ttulo3"/>
      </w:pPr>
      <w:bookmarkStart w:id="23" w:name="_Toc159442592"/>
      <w:r>
        <w:t>3.2.1 Requisitos para la comercialización en la escala nacional</w:t>
      </w:r>
      <w:bookmarkEnd w:id="23"/>
    </w:p>
    <w:p w14:paraId="422D74A9" w14:textId="77777777" w:rsidR="00FB741F" w:rsidRDefault="00FB741F" w:rsidP="00FB741F">
      <w:pPr>
        <w:jc w:val="both"/>
      </w:pPr>
    </w:p>
    <w:p w14:paraId="306491FD" w14:textId="64891C85" w:rsidR="00FB741F" w:rsidRDefault="00FB741F" w:rsidP="00FB741F">
      <w:pPr>
        <w:jc w:val="both"/>
      </w:pPr>
      <w:r>
        <w:t xml:space="preserve">A continuación, se detallan los requisitos para la comercialización </w:t>
      </w:r>
      <w:r w:rsidR="00041D87">
        <w:t xml:space="preserve">de bienes y servicios </w:t>
      </w:r>
      <w:r>
        <w:t>en la escala nacional o local</w:t>
      </w:r>
      <w:r w:rsidR="008C7F57">
        <w:t xml:space="preserve"> (figura 2)</w:t>
      </w:r>
      <w:r>
        <w:t>:</w:t>
      </w:r>
    </w:p>
    <w:p w14:paraId="137A1545" w14:textId="51D82FE7" w:rsidR="00253C97" w:rsidRPr="008C7F57" w:rsidRDefault="00253C97" w:rsidP="00253C97">
      <w:pPr>
        <w:pStyle w:val="Descripcin"/>
        <w:rPr>
          <w:color w:val="auto"/>
          <w:sz w:val="22"/>
          <w:szCs w:val="22"/>
        </w:rPr>
      </w:pPr>
      <w:r w:rsidRPr="008C7F57">
        <w:rPr>
          <w:color w:val="auto"/>
          <w:sz w:val="22"/>
          <w:szCs w:val="22"/>
        </w:rPr>
        <w:t xml:space="preserve">Figura </w:t>
      </w:r>
      <w:r w:rsidRPr="008C7F57">
        <w:rPr>
          <w:color w:val="auto"/>
          <w:sz w:val="22"/>
          <w:szCs w:val="22"/>
        </w:rPr>
        <w:fldChar w:fldCharType="begin"/>
      </w:r>
      <w:r w:rsidRPr="008C7F57">
        <w:rPr>
          <w:color w:val="auto"/>
          <w:sz w:val="22"/>
          <w:szCs w:val="22"/>
        </w:rPr>
        <w:instrText xml:space="preserve"> SEQ Figura \* ARABIC </w:instrText>
      </w:r>
      <w:r w:rsidRPr="008C7F57">
        <w:rPr>
          <w:color w:val="auto"/>
          <w:sz w:val="22"/>
          <w:szCs w:val="22"/>
        </w:rPr>
        <w:fldChar w:fldCharType="separate"/>
      </w:r>
      <w:r w:rsidR="00CB0DAA">
        <w:rPr>
          <w:noProof/>
          <w:color w:val="auto"/>
          <w:sz w:val="22"/>
          <w:szCs w:val="22"/>
        </w:rPr>
        <w:t>2</w:t>
      </w:r>
      <w:r w:rsidRPr="008C7F57">
        <w:rPr>
          <w:color w:val="auto"/>
          <w:sz w:val="22"/>
          <w:szCs w:val="22"/>
        </w:rPr>
        <w:fldChar w:fldCharType="end"/>
      </w:r>
      <w:r w:rsidRPr="008C7F57">
        <w:rPr>
          <w:color w:val="auto"/>
          <w:sz w:val="22"/>
          <w:szCs w:val="22"/>
        </w:rPr>
        <w:t>. Pasos generales para la apertura de una empresa en Costa Rica, MEIC, 2023.</w:t>
      </w:r>
    </w:p>
    <w:p w14:paraId="19CC2B62" w14:textId="17A4A0B9" w:rsidR="00253C97" w:rsidRDefault="00253C97" w:rsidP="00253C97">
      <w:pPr>
        <w:jc w:val="center"/>
      </w:pPr>
      <w:r>
        <w:rPr>
          <w:noProof/>
          <w14:ligatures w14:val="standardContextual"/>
        </w:rPr>
        <w:drawing>
          <wp:inline distT="0" distB="0" distL="0" distR="0" wp14:anchorId="21B69FF1" wp14:editId="26144637">
            <wp:extent cx="4102100" cy="5170060"/>
            <wp:effectExtent l="0" t="0" r="0" b="0"/>
            <wp:docPr id="16571184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11847" name="Imagen 165711847"/>
                    <pic:cNvPicPr/>
                  </pic:nvPicPr>
                  <pic:blipFill>
                    <a:blip r:embed="rId14">
                      <a:extLst>
                        <a:ext uri="{28A0092B-C50C-407E-A947-70E740481C1C}">
                          <a14:useLocalDpi xmlns:a14="http://schemas.microsoft.com/office/drawing/2010/main" val="0"/>
                        </a:ext>
                      </a:extLst>
                    </a:blip>
                    <a:stretch>
                      <a:fillRect/>
                    </a:stretch>
                  </pic:blipFill>
                  <pic:spPr>
                    <a:xfrm>
                      <a:off x="0" y="0"/>
                      <a:ext cx="4119476" cy="5191960"/>
                    </a:xfrm>
                    <a:prstGeom prst="rect">
                      <a:avLst/>
                    </a:prstGeom>
                  </pic:spPr>
                </pic:pic>
              </a:graphicData>
            </a:graphic>
          </wp:inline>
        </w:drawing>
      </w:r>
    </w:p>
    <w:p w14:paraId="29B927E5" w14:textId="6FDA14B7" w:rsidR="00253C97" w:rsidRPr="008C7F57" w:rsidRDefault="00253C97" w:rsidP="00253C97">
      <w:pPr>
        <w:jc w:val="both"/>
        <w:rPr>
          <w:sz w:val="18"/>
          <w:szCs w:val="18"/>
        </w:rPr>
      </w:pPr>
      <w:r w:rsidRPr="008C7F57">
        <w:rPr>
          <w:sz w:val="18"/>
          <w:szCs w:val="18"/>
        </w:rPr>
        <w:t xml:space="preserve">Fuente: </w:t>
      </w:r>
      <w:hyperlink r:id="rId15" w:history="1">
        <w:r w:rsidR="008C7F57" w:rsidRPr="008C7F57">
          <w:rPr>
            <w:rStyle w:val="Hipervnculo"/>
            <w:sz w:val="18"/>
            <w:szCs w:val="18"/>
          </w:rPr>
          <w:t>https://www.meic.go.cr/web/135/pymes/guias/apertura-de-una-empresa-en-costa-rica.php</w:t>
        </w:r>
      </w:hyperlink>
    </w:p>
    <w:p w14:paraId="36CEE94A" w14:textId="454C138E" w:rsidR="00FB741F" w:rsidRDefault="008C7F57" w:rsidP="00E97F89">
      <w:pPr>
        <w:jc w:val="both"/>
      </w:pPr>
      <w:r>
        <w:lastRenderedPageBreak/>
        <w:t>Cada uno de los pasos debe tener en cuenta procesos y documentación adicional, los cuales pueden ser consultados directamente en la guía “</w:t>
      </w:r>
      <w:hyperlink r:id="rId16" w:history="1">
        <w:r w:rsidRPr="008C7F57">
          <w:rPr>
            <w:rStyle w:val="Hipervnculo"/>
          </w:rPr>
          <w:t>Pasos para la Apertura de una Empresa en Costa Rica</w:t>
        </w:r>
      </w:hyperlink>
      <w:r>
        <w:t>”</w:t>
      </w:r>
    </w:p>
    <w:p w14:paraId="0C682E55" w14:textId="5E6D52FB" w:rsidR="00FB741F" w:rsidRDefault="00FB741F" w:rsidP="00E97F89">
      <w:pPr>
        <w:jc w:val="both"/>
      </w:pPr>
      <w:r>
        <w:t xml:space="preserve">Adicionalmente </w:t>
      </w:r>
      <w:r w:rsidR="008C7F57">
        <w:t xml:space="preserve">se recomienda </w:t>
      </w:r>
      <w:r>
        <w:t>realizar la inscripción ante el MEIC como PYME, esto le permitirá contar con una serie de beneficios complementarios</w:t>
      </w:r>
      <w:r w:rsidR="008C7F57">
        <w:t xml:space="preserve"> (figura 3)</w:t>
      </w:r>
      <w:r>
        <w:t xml:space="preserve">: </w:t>
      </w:r>
    </w:p>
    <w:p w14:paraId="2CB63361" w14:textId="27B7CD14" w:rsidR="00BF70E7" w:rsidRPr="008C7F57" w:rsidRDefault="00BF70E7" w:rsidP="00BF70E7">
      <w:pPr>
        <w:pStyle w:val="Descripcin"/>
        <w:rPr>
          <w:color w:val="auto"/>
          <w:sz w:val="22"/>
          <w:szCs w:val="22"/>
        </w:rPr>
      </w:pPr>
      <w:r w:rsidRPr="008C7F57">
        <w:rPr>
          <w:color w:val="auto"/>
          <w:sz w:val="22"/>
          <w:szCs w:val="22"/>
        </w:rPr>
        <w:t xml:space="preserve">Figura </w:t>
      </w:r>
      <w:r w:rsidRPr="008C7F57">
        <w:rPr>
          <w:color w:val="auto"/>
          <w:sz w:val="22"/>
          <w:szCs w:val="22"/>
        </w:rPr>
        <w:fldChar w:fldCharType="begin"/>
      </w:r>
      <w:r w:rsidRPr="008C7F57">
        <w:rPr>
          <w:color w:val="auto"/>
          <w:sz w:val="22"/>
          <w:szCs w:val="22"/>
        </w:rPr>
        <w:instrText xml:space="preserve"> SEQ Figura \* ARABIC </w:instrText>
      </w:r>
      <w:r w:rsidRPr="008C7F57">
        <w:rPr>
          <w:color w:val="auto"/>
          <w:sz w:val="22"/>
          <w:szCs w:val="22"/>
        </w:rPr>
        <w:fldChar w:fldCharType="separate"/>
      </w:r>
      <w:r w:rsidR="00CB0DAA">
        <w:rPr>
          <w:noProof/>
          <w:color w:val="auto"/>
          <w:sz w:val="22"/>
          <w:szCs w:val="22"/>
        </w:rPr>
        <w:t>3</w:t>
      </w:r>
      <w:r w:rsidRPr="008C7F57">
        <w:rPr>
          <w:color w:val="auto"/>
          <w:sz w:val="22"/>
          <w:szCs w:val="22"/>
        </w:rPr>
        <w:fldChar w:fldCharType="end"/>
      </w:r>
      <w:r w:rsidRPr="008C7F57">
        <w:rPr>
          <w:color w:val="auto"/>
          <w:sz w:val="22"/>
          <w:szCs w:val="22"/>
        </w:rPr>
        <w:t>. Beneficios de la inscripción PYME ante el MEIC, Costa Rica.</w:t>
      </w:r>
    </w:p>
    <w:p w14:paraId="37765D5F" w14:textId="475AD912" w:rsidR="00BF70E7" w:rsidRDefault="00BF70E7" w:rsidP="00FB741F">
      <w:pPr>
        <w:jc w:val="both"/>
      </w:pPr>
      <w:r>
        <w:rPr>
          <w:noProof/>
          <w14:ligatures w14:val="standardContextual"/>
        </w:rPr>
        <w:drawing>
          <wp:inline distT="0" distB="0" distL="0" distR="0" wp14:anchorId="0346601C" wp14:editId="4AFA0612">
            <wp:extent cx="5486400" cy="3200400"/>
            <wp:effectExtent l="0" t="0" r="38100" b="0"/>
            <wp:docPr id="1339992763" name="Diagrama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43809E53" w14:textId="1AA61096" w:rsidR="00FB741F" w:rsidRDefault="00BF70E7" w:rsidP="00FB741F">
      <w:pPr>
        <w:jc w:val="both"/>
      </w:pPr>
      <w:r>
        <w:t>Es importante mencionar que p</w:t>
      </w:r>
      <w:r w:rsidR="00FB741F">
        <w:t xml:space="preserve">ara el registro por primera vez deberá aportar </w:t>
      </w:r>
      <w:r>
        <w:t>dos</w:t>
      </w:r>
      <w:r w:rsidR="00FB741F">
        <w:t xml:space="preserve"> de los siguientes </w:t>
      </w:r>
      <w:r>
        <w:t>tres</w:t>
      </w:r>
      <w:r w:rsidR="00FB741F">
        <w:t xml:space="preserve"> requisitos:</w:t>
      </w:r>
    </w:p>
    <w:p w14:paraId="3846A521" w14:textId="6FD717AA" w:rsidR="00FB741F" w:rsidRDefault="00FB741F" w:rsidP="00BF70E7">
      <w:pPr>
        <w:pStyle w:val="Prrafodelista"/>
        <w:numPr>
          <w:ilvl w:val="0"/>
          <w:numId w:val="5"/>
        </w:numPr>
        <w:jc w:val="both"/>
      </w:pPr>
      <w:r>
        <w:t>Recibo de la póliza de Riesgos del Trabajo que emite el INS, al día.</w:t>
      </w:r>
    </w:p>
    <w:p w14:paraId="0939A7B4" w14:textId="631A3AD5" w:rsidR="00FB741F" w:rsidRDefault="00FB741F" w:rsidP="00BF70E7">
      <w:pPr>
        <w:pStyle w:val="Prrafodelista"/>
        <w:numPr>
          <w:ilvl w:val="0"/>
          <w:numId w:val="5"/>
        </w:numPr>
        <w:jc w:val="both"/>
      </w:pPr>
      <w:r>
        <w:t>El Formulario de Declaración de Impuesto sobre la Renta: sea el Formulario D101 del Régimen Tradicional o el Formulario D105 del Régimen Simplificado, del último periodo fiscal.</w:t>
      </w:r>
    </w:p>
    <w:p w14:paraId="03E34729" w14:textId="7381ED2A" w:rsidR="00FB741F" w:rsidRDefault="00FB741F" w:rsidP="00BF70E7">
      <w:pPr>
        <w:pStyle w:val="Prrafodelista"/>
        <w:numPr>
          <w:ilvl w:val="0"/>
          <w:numId w:val="5"/>
        </w:numPr>
        <w:jc w:val="both"/>
      </w:pPr>
      <w:r>
        <w:t>Planilla de la CCSS o el comprobante de trabajador independiente, donde se demuestre que está al día con las obligaciones ante esa institución. Igual este requisito se puede verificar en línea ante CCSS.</w:t>
      </w:r>
    </w:p>
    <w:p w14:paraId="107F3290" w14:textId="60B33AD3" w:rsidR="00FB741F" w:rsidRDefault="00FB741F" w:rsidP="008C7F57">
      <w:pPr>
        <w:jc w:val="both"/>
      </w:pPr>
      <w:r>
        <w:t xml:space="preserve">Además de </w:t>
      </w:r>
      <w:r w:rsidR="00BF70E7">
        <w:t>lo anterior</w:t>
      </w:r>
      <w:r>
        <w:t xml:space="preserve"> </w:t>
      </w:r>
      <w:r w:rsidR="00BF70E7">
        <w:t xml:space="preserve">debe </w:t>
      </w:r>
      <w:r w:rsidR="004A0163">
        <w:t>aportar el</w:t>
      </w:r>
      <w:r>
        <w:t xml:space="preserve"> Documento “Formulario de Inscripción Registro PYME”, </w:t>
      </w:r>
      <w:r w:rsidR="00041D87">
        <w:t>que opera como</w:t>
      </w:r>
      <w:r>
        <w:t xml:space="preserve"> declaración.</w:t>
      </w:r>
      <w:r w:rsidR="008C7F57">
        <w:t xml:space="preserve"> Si la empresa ya cuenta con un producto desarrollado y quiere incluir el c</w:t>
      </w:r>
      <w:r w:rsidRPr="008C7F57">
        <w:t>ódigo de barras GS1</w:t>
      </w:r>
      <w:r w:rsidR="008C7F57" w:rsidRPr="008C7F57">
        <w:t xml:space="preserve"> debe presentar el</w:t>
      </w:r>
      <w:r>
        <w:t xml:space="preserve"> </w:t>
      </w:r>
      <w:r w:rsidR="00760415">
        <w:t>f</w:t>
      </w:r>
      <w:r>
        <w:t xml:space="preserve">ormulario de afiliación, </w:t>
      </w:r>
      <w:r w:rsidR="00760415">
        <w:t>c</w:t>
      </w:r>
      <w:r>
        <w:t xml:space="preserve">opia de la cédula de identidad del representante legal, </w:t>
      </w:r>
      <w:r w:rsidR="00760415">
        <w:t>c</w:t>
      </w:r>
      <w:r>
        <w:t>opia de la personería jurídica dada por el Registro Nacional con menos de 3 meses de emisión (</w:t>
      </w:r>
      <w:r w:rsidR="00760415">
        <w:t>s</w:t>
      </w:r>
      <w:r>
        <w:t xml:space="preserve">ólo si está inscrito como persona jurídica), </w:t>
      </w:r>
      <w:r w:rsidR="00760415">
        <w:t>d</w:t>
      </w:r>
      <w:r>
        <w:t>ocumentos financieros según sea su caso:</w:t>
      </w:r>
    </w:p>
    <w:p w14:paraId="7AC385B7" w14:textId="77777777" w:rsidR="00FB741F" w:rsidRDefault="00FB741F" w:rsidP="004A0163">
      <w:pPr>
        <w:pStyle w:val="Prrafodelista"/>
        <w:numPr>
          <w:ilvl w:val="0"/>
          <w:numId w:val="6"/>
        </w:numPr>
        <w:jc w:val="both"/>
      </w:pPr>
      <w:r>
        <w:t>Si tiene más de 1 año de operar: copia de la declaración de renta del último periodo fiscal.</w:t>
      </w:r>
    </w:p>
    <w:p w14:paraId="39EDC1A8" w14:textId="77777777" w:rsidR="00FB741F" w:rsidRDefault="00FB741F" w:rsidP="004A0163">
      <w:pPr>
        <w:pStyle w:val="Prrafodelista"/>
        <w:numPr>
          <w:ilvl w:val="0"/>
          <w:numId w:val="6"/>
        </w:numPr>
        <w:jc w:val="both"/>
      </w:pPr>
      <w:r>
        <w:t>Si tiene de 1 a 11 meses: copia de la inscripción a tributación y copia de todas las declaraciones mensuales de ventas (Declaración jurada del IVA).</w:t>
      </w:r>
    </w:p>
    <w:p w14:paraId="712B0D64" w14:textId="450DA650" w:rsidR="00FB741F" w:rsidRDefault="00FB741F" w:rsidP="004A0163">
      <w:pPr>
        <w:pStyle w:val="Prrafodelista"/>
        <w:numPr>
          <w:ilvl w:val="0"/>
          <w:numId w:val="6"/>
        </w:numPr>
        <w:jc w:val="both"/>
      </w:pPr>
      <w:r>
        <w:lastRenderedPageBreak/>
        <w:t>Si tiene menos de 1 mes de encontrarse inscrito en</w:t>
      </w:r>
      <w:r w:rsidR="00760415">
        <w:t xml:space="preserve"> el Ministerio de</w:t>
      </w:r>
      <w:r>
        <w:t xml:space="preserve"> Hacienda: copia de la inscripción a tributación y declaración jurada.</w:t>
      </w:r>
    </w:p>
    <w:p w14:paraId="3A127110" w14:textId="2254D5E4" w:rsidR="00FB741F" w:rsidRDefault="004C4375" w:rsidP="004C4375">
      <w:pPr>
        <w:jc w:val="both"/>
      </w:pPr>
      <w:r>
        <w:t xml:space="preserve">La </w:t>
      </w:r>
      <w:r w:rsidR="00FB741F">
        <w:t>Certificación P</w:t>
      </w:r>
      <w:r w:rsidR="008C7F57">
        <w:t>YME</w:t>
      </w:r>
      <w:r w:rsidR="00FB741F">
        <w:t xml:space="preserve"> emitida por el MEIC o bien por el MAG</w:t>
      </w:r>
      <w:r w:rsidR="008C7F57">
        <w:t xml:space="preserve"> (PYMPA)</w:t>
      </w:r>
      <w:r w:rsidR="00FB741F">
        <w:t xml:space="preserve"> según aplique</w:t>
      </w:r>
      <w:r>
        <w:t xml:space="preserve"> es opcional y puede generar beneficios como: e</w:t>
      </w:r>
      <w:r w:rsidR="00FB741F">
        <w:t>xhibi</w:t>
      </w:r>
      <w:r>
        <w:t>ción de</w:t>
      </w:r>
      <w:r w:rsidR="00FB741F">
        <w:t xml:space="preserve"> productos</w:t>
      </w:r>
      <w:r>
        <w:t>, s</w:t>
      </w:r>
      <w:r w:rsidR="00FB741F">
        <w:t>ervicio de sincronización de datos</w:t>
      </w:r>
      <w:r>
        <w:t>, f</w:t>
      </w:r>
      <w:r w:rsidR="00FB741F">
        <w:t>inanciamiento en Banca para el Desarrollo</w:t>
      </w:r>
      <w:r>
        <w:t>, r</w:t>
      </w:r>
      <w:r w:rsidR="00FB741F">
        <w:t>egistro de marca</w:t>
      </w:r>
      <w:r>
        <w:t xml:space="preserve"> y vinculación con el Ministerio de Ciencia, Tecnología y Telecomunicación (</w:t>
      </w:r>
      <w:r w:rsidR="00FB741F">
        <w:t>MICITT</w:t>
      </w:r>
      <w:r>
        <w:t>)</w:t>
      </w:r>
      <w:r w:rsidR="00FB741F">
        <w:t xml:space="preserve"> para tema de innovación</w:t>
      </w:r>
      <w:r>
        <w:t>.</w:t>
      </w:r>
      <w:r w:rsidR="00EF65E0">
        <w:t xml:space="preserve"> Todos los requisitos se aplican para tiendas físicas o virtuales, en el caso de la venta digital la municipalidad se asegura de que cuente con un espacio de trabajo adecuado, ya sea un coworking o un espacio en su residencia debidamente adaptado para otorgar los permisos correspondientes.</w:t>
      </w:r>
    </w:p>
    <w:p w14:paraId="77B5FCCA" w14:textId="77777777" w:rsidR="004C4375" w:rsidRDefault="004C4375" w:rsidP="00FB741F">
      <w:pPr>
        <w:jc w:val="both"/>
      </w:pPr>
    </w:p>
    <w:p w14:paraId="70883F3D" w14:textId="59FE3AE3" w:rsidR="00FB741F" w:rsidRDefault="00FB741F" w:rsidP="00FB741F">
      <w:pPr>
        <w:pStyle w:val="Ttulo3"/>
      </w:pPr>
      <w:bookmarkStart w:id="24" w:name="_Toc159442593"/>
      <w:r>
        <w:t>3.2.2 Requisitos para la comercialización internacional</w:t>
      </w:r>
      <w:bookmarkEnd w:id="24"/>
    </w:p>
    <w:p w14:paraId="1F26892D" w14:textId="77777777" w:rsidR="004C4375" w:rsidRDefault="004C4375" w:rsidP="00FB741F">
      <w:pPr>
        <w:jc w:val="both"/>
      </w:pPr>
    </w:p>
    <w:p w14:paraId="35EEEB7D" w14:textId="67B4F027" w:rsidR="00FB741F" w:rsidRDefault="00FB741F" w:rsidP="00FB741F">
      <w:pPr>
        <w:jc w:val="both"/>
      </w:pPr>
      <w:r>
        <w:t>Según PROCOMER (2023)</w:t>
      </w:r>
      <w:r w:rsidR="002E50DE">
        <w:t>,</w:t>
      </w:r>
      <w:r>
        <w:t xml:space="preserve"> para la exportación de cualquier producto se requieren cumplir</w:t>
      </w:r>
      <w:r w:rsidR="002E50DE">
        <w:t xml:space="preserve"> con varios procesos, primeramente, cumplir con los requerimientos nacionales para la comercialización de bienes y servicios definida por el MEIC y los requisitos y tramitología de exportación (figura 4).</w:t>
      </w:r>
    </w:p>
    <w:p w14:paraId="7400ABFA" w14:textId="0C255837" w:rsidR="002E50DE" w:rsidRPr="002E50DE" w:rsidRDefault="002E50DE" w:rsidP="002E50DE">
      <w:pPr>
        <w:pStyle w:val="Descripcin"/>
        <w:rPr>
          <w:color w:val="auto"/>
          <w:sz w:val="22"/>
          <w:szCs w:val="22"/>
        </w:rPr>
      </w:pPr>
      <w:r w:rsidRPr="002E50DE">
        <w:rPr>
          <w:color w:val="auto"/>
          <w:sz w:val="22"/>
          <w:szCs w:val="22"/>
        </w:rPr>
        <w:t xml:space="preserve">Figura </w:t>
      </w:r>
      <w:r w:rsidRPr="002E50DE">
        <w:rPr>
          <w:color w:val="auto"/>
          <w:sz w:val="22"/>
          <w:szCs w:val="22"/>
        </w:rPr>
        <w:fldChar w:fldCharType="begin"/>
      </w:r>
      <w:r w:rsidRPr="002E50DE">
        <w:rPr>
          <w:color w:val="auto"/>
          <w:sz w:val="22"/>
          <w:szCs w:val="22"/>
        </w:rPr>
        <w:instrText xml:space="preserve"> SEQ Figura \* ARABIC </w:instrText>
      </w:r>
      <w:r w:rsidRPr="002E50DE">
        <w:rPr>
          <w:color w:val="auto"/>
          <w:sz w:val="22"/>
          <w:szCs w:val="22"/>
        </w:rPr>
        <w:fldChar w:fldCharType="separate"/>
      </w:r>
      <w:r w:rsidR="00CB0DAA">
        <w:rPr>
          <w:noProof/>
          <w:color w:val="auto"/>
          <w:sz w:val="22"/>
          <w:szCs w:val="22"/>
        </w:rPr>
        <w:t>4</w:t>
      </w:r>
      <w:r w:rsidRPr="002E50DE">
        <w:rPr>
          <w:color w:val="auto"/>
          <w:sz w:val="22"/>
          <w:szCs w:val="22"/>
        </w:rPr>
        <w:fldChar w:fldCharType="end"/>
      </w:r>
      <w:r w:rsidRPr="002E50DE">
        <w:rPr>
          <w:color w:val="auto"/>
          <w:sz w:val="22"/>
          <w:szCs w:val="22"/>
        </w:rPr>
        <w:t>. Trámite de exportación, PROCOMER, 2024.</w:t>
      </w:r>
    </w:p>
    <w:p w14:paraId="33E01AFB" w14:textId="0E9DB812" w:rsidR="002E50DE" w:rsidRDefault="002E50DE" w:rsidP="00FB741F">
      <w:pPr>
        <w:jc w:val="both"/>
      </w:pPr>
      <w:r>
        <w:rPr>
          <w:noProof/>
          <w14:ligatures w14:val="standardContextual"/>
        </w:rPr>
        <w:drawing>
          <wp:inline distT="0" distB="0" distL="0" distR="0" wp14:anchorId="53AB3E8A" wp14:editId="6AF72CF7">
            <wp:extent cx="5612130" cy="3156585"/>
            <wp:effectExtent l="0" t="0" r="7620" b="5715"/>
            <wp:docPr id="1186627854" name="Imagen 5" descr="Diagram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627854" name="Imagen 5" descr="Diagrama, Texto&#10;&#10;Descripción generada automáticament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612130" cy="3156585"/>
                    </a:xfrm>
                    <a:prstGeom prst="rect">
                      <a:avLst/>
                    </a:prstGeom>
                  </pic:spPr>
                </pic:pic>
              </a:graphicData>
            </a:graphic>
          </wp:inline>
        </w:drawing>
      </w:r>
    </w:p>
    <w:p w14:paraId="4A72CDAA" w14:textId="5F42B095" w:rsidR="002E50DE" w:rsidRPr="002E50DE" w:rsidRDefault="002E50DE" w:rsidP="00FB741F">
      <w:pPr>
        <w:jc w:val="both"/>
        <w:rPr>
          <w:sz w:val="18"/>
          <w:szCs w:val="18"/>
        </w:rPr>
      </w:pPr>
      <w:r w:rsidRPr="002E50DE">
        <w:rPr>
          <w:sz w:val="18"/>
          <w:szCs w:val="18"/>
        </w:rPr>
        <w:t xml:space="preserve">Fuente: Suministrado por la regional </w:t>
      </w:r>
      <w:r>
        <w:rPr>
          <w:sz w:val="18"/>
          <w:szCs w:val="18"/>
        </w:rPr>
        <w:t xml:space="preserve">de PROCOMER en </w:t>
      </w:r>
      <w:r w:rsidRPr="002E50DE">
        <w:rPr>
          <w:sz w:val="18"/>
          <w:szCs w:val="18"/>
        </w:rPr>
        <w:t>Chorotega.</w:t>
      </w:r>
    </w:p>
    <w:p w14:paraId="0AEFF6DC" w14:textId="44F3AEFC" w:rsidR="002E50DE" w:rsidRDefault="002E50DE" w:rsidP="00FB741F">
      <w:pPr>
        <w:jc w:val="both"/>
      </w:pPr>
      <w:r>
        <w:t>En complemento existen una serie de aspectos de control fitosanitario que aplican dependiendo del producto que se desea exportar, en el caso de la madera si existen requisitos específicos para las partidas arancelarias y los mercados destino como lo son:</w:t>
      </w:r>
    </w:p>
    <w:p w14:paraId="29CCFCA5" w14:textId="53EB0090" w:rsidR="00FB741F" w:rsidRDefault="00FB741F" w:rsidP="00FB741F">
      <w:pPr>
        <w:jc w:val="both"/>
      </w:pPr>
      <w:r w:rsidRPr="000B4EFE">
        <w:rPr>
          <w:b/>
          <w:bCs/>
        </w:rPr>
        <w:t>Certificado fitosanitario</w:t>
      </w:r>
      <w:r w:rsidR="000B4EFE" w:rsidRPr="000B4EFE">
        <w:rPr>
          <w:b/>
          <w:bCs/>
        </w:rPr>
        <w:t>:</w:t>
      </w:r>
      <w:r w:rsidR="002E50DE">
        <w:t xml:space="preserve"> en el caso de que la madera dependiendo del grado de transformación secundaria (en troza, aserrada, transformación secundaria, tarimas, entre otros) se requiere de fumigación </w:t>
      </w:r>
      <w:r w:rsidR="000B4EFE">
        <w:t>o inmersión</w:t>
      </w:r>
      <w:r w:rsidR="002E50DE">
        <w:t xml:space="preserve"> para evitar la afección o ingreso de patógenos a otros países.</w:t>
      </w:r>
    </w:p>
    <w:p w14:paraId="059EF3CC" w14:textId="5DCC995F" w:rsidR="00FB741F" w:rsidRDefault="00FB741F" w:rsidP="002E50DE">
      <w:pPr>
        <w:jc w:val="both"/>
      </w:pPr>
      <w:r w:rsidRPr="000B4EFE">
        <w:rPr>
          <w:b/>
          <w:bCs/>
        </w:rPr>
        <w:lastRenderedPageBreak/>
        <w:t>Certificado de origen</w:t>
      </w:r>
      <w:r w:rsidR="000B4EFE" w:rsidRPr="000B4EFE">
        <w:rPr>
          <w:b/>
          <w:bCs/>
        </w:rPr>
        <w:t>:</w:t>
      </w:r>
      <w:r>
        <w:t xml:space="preserve"> este dependerá del país al que se vaya a exportar. Existen </w:t>
      </w:r>
      <w:r w:rsidR="000B4EFE">
        <w:t>dos</w:t>
      </w:r>
      <w:r>
        <w:t xml:space="preserve"> tipos: </w:t>
      </w:r>
      <w:r w:rsidR="000B4EFE">
        <w:t>auto certificación</w:t>
      </w:r>
      <w:r>
        <w:t xml:space="preserve"> en el cual el exportador llena y firma el certificado de origen, sin necesidad de obtener autorización o aval de ninguna entidad en el país de exportación. </w:t>
      </w:r>
    </w:p>
    <w:p w14:paraId="3DFB9E0B" w14:textId="709E0BA5" w:rsidR="00FB741F" w:rsidRDefault="00FB741F" w:rsidP="00FB741F">
      <w:pPr>
        <w:jc w:val="both"/>
      </w:pPr>
      <w:r w:rsidRPr="000B4EFE">
        <w:rPr>
          <w:b/>
          <w:bCs/>
        </w:rPr>
        <w:t>Certificación controlada</w:t>
      </w:r>
      <w:r w:rsidR="000B4EFE" w:rsidRPr="000B4EFE">
        <w:rPr>
          <w:b/>
          <w:bCs/>
        </w:rPr>
        <w:t>:</w:t>
      </w:r>
      <w:r>
        <w:t xml:space="preserve"> en el cual la certificación es emitida o avalada por una autoridad pública o privada (PROCOMER). Ejemplo: Asociación Europea de Libre Comercio, China, CARICOM, Perú, Venezuela, Unión Europea, Colombia, Reino Unido, Sistemas Generalizados de Preferencias (GSP)</w:t>
      </w:r>
    </w:p>
    <w:p w14:paraId="600EFD01" w14:textId="2A03D8B9" w:rsidR="00FB741F" w:rsidRDefault="00FB741F" w:rsidP="00FB741F">
      <w:pPr>
        <w:jc w:val="both"/>
      </w:pPr>
      <w:r w:rsidRPr="000B4EFE">
        <w:rPr>
          <w:b/>
          <w:bCs/>
        </w:rPr>
        <w:t>Certificaci</w:t>
      </w:r>
      <w:r w:rsidR="000B4EFE" w:rsidRPr="000B4EFE">
        <w:rPr>
          <w:b/>
          <w:bCs/>
        </w:rPr>
        <w:t>ón</w:t>
      </w:r>
      <w:r w:rsidR="002E50DE" w:rsidRPr="000B4EFE">
        <w:rPr>
          <w:b/>
          <w:bCs/>
        </w:rPr>
        <w:t xml:space="preserve"> </w:t>
      </w:r>
      <w:r w:rsidRPr="000B4EFE">
        <w:rPr>
          <w:b/>
          <w:bCs/>
        </w:rPr>
        <w:t>ambiental, social o salud y bienestar</w:t>
      </w:r>
      <w:r w:rsidR="000B4EFE" w:rsidRPr="000B4EFE">
        <w:rPr>
          <w:b/>
          <w:bCs/>
        </w:rPr>
        <w:t>:</w:t>
      </w:r>
      <w:r>
        <w:t xml:space="preserve"> varia el certificado, los más conocidos para el tema ambiental son el Rainforest Alliance, FSC y Agricultura Ecológica España y certificado ecológico de la UE. </w:t>
      </w:r>
    </w:p>
    <w:p w14:paraId="750A6CD6" w14:textId="2C243FBC" w:rsidR="00D6212C" w:rsidRDefault="00D6212C" w:rsidP="00FB741F">
      <w:pPr>
        <w:jc w:val="both"/>
      </w:pPr>
      <w:r>
        <w:t>En el cuadro 1 se resumen los requisitos de comercialización para una mejor comprensión de los lineamientos del mercado nacional e internacional. Esto facilita que la persona física o jurídica que desee colocar un producto en el mercado pueda vislumbrar la serie de procesos para la formalización de su negocio y oferta.</w:t>
      </w:r>
    </w:p>
    <w:p w14:paraId="7EE28DF7" w14:textId="08A06C4C" w:rsidR="007268A6" w:rsidRDefault="007268A6" w:rsidP="007268A6">
      <w:pPr>
        <w:pStyle w:val="Descripcin"/>
        <w:rPr>
          <w:color w:val="auto"/>
          <w:sz w:val="22"/>
          <w:szCs w:val="22"/>
        </w:rPr>
      </w:pPr>
      <w:r w:rsidRPr="007268A6">
        <w:rPr>
          <w:color w:val="auto"/>
          <w:sz w:val="22"/>
          <w:szCs w:val="22"/>
        </w:rPr>
        <w:t xml:space="preserve">Cuadro </w:t>
      </w:r>
      <w:r w:rsidRPr="007268A6">
        <w:rPr>
          <w:color w:val="auto"/>
          <w:sz w:val="22"/>
          <w:szCs w:val="22"/>
        </w:rPr>
        <w:fldChar w:fldCharType="begin"/>
      </w:r>
      <w:r w:rsidRPr="007268A6">
        <w:rPr>
          <w:color w:val="auto"/>
          <w:sz w:val="22"/>
          <w:szCs w:val="22"/>
        </w:rPr>
        <w:instrText xml:space="preserve"> SEQ Cuadro \* ARABIC </w:instrText>
      </w:r>
      <w:r w:rsidRPr="007268A6">
        <w:rPr>
          <w:color w:val="auto"/>
          <w:sz w:val="22"/>
          <w:szCs w:val="22"/>
        </w:rPr>
        <w:fldChar w:fldCharType="separate"/>
      </w:r>
      <w:r w:rsidRPr="007268A6">
        <w:rPr>
          <w:noProof/>
          <w:color w:val="auto"/>
          <w:sz w:val="22"/>
          <w:szCs w:val="22"/>
        </w:rPr>
        <w:t>1</w:t>
      </w:r>
      <w:r w:rsidRPr="007268A6">
        <w:rPr>
          <w:color w:val="auto"/>
          <w:sz w:val="22"/>
          <w:szCs w:val="22"/>
        </w:rPr>
        <w:fldChar w:fldCharType="end"/>
      </w:r>
      <w:r w:rsidRPr="007268A6">
        <w:rPr>
          <w:color w:val="auto"/>
          <w:sz w:val="22"/>
          <w:szCs w:val="22"/>
        </w:rPr>
        <w:t>. Resumen de los requisitos de comercialización nacional e internacional, Costa Rica, 2023.</w:t>
      </w:r>
    </w:p>
    <w:tbl>
      <w:tblPr>
        <w:tblStyle w:val="Tablanormal2"/>
        <w:tblW w:w="0" w:type="auto"/>
        <w:jc w:val="center"/>
        <w:tblLook w:val="04A0" w:firstRow="1" w:lastRow="0" w:firstColumn="1" w:lastColumn="0" w:noHBand="0" w:noVBand="1"/>
      </w:tblPr>
      <w:tblGrid>
        <w:gridCol w:w="3686"/>
        <w:gridCol w:w="1559"/>
        <w:gridCol w:w="1628"/>
      </w:tblGrid>
      <w:tr w:rsidR="007268A6" w14:paraId="1A71173D" w14:textId="77777777" w:rsidTr="007268A6">
        <w:trPr>
          <w:cnfStyle w:val="100000000000" w:firstRow="1" w:lastRow="0" w:firstColumn="0" w:lastColumn="0" w:oddVBand="0" w:evenVBand="0" w:oddHBand="0"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3686" w:type="dxa"/>
          </w:tcPr>
          <w:p w14:paraId="4A559C7D" w14:textId="4F92C829" w:rsidR="007268A6" w:rsidRDefault="007268A6" w:rsidP="007268A6">
            <w:pPr>
              <w:jc w:val="center"/>
              <w:rPr>
                <w:lang w:eastAsia="en-GB"/>
              </w:rPr>
            </w:pPr>
            <w:r>
              <w:rPr>
                <w:lang w:eastAsia="en-GB"/>
              </w:rPr>
              <w:t>Requisito</w:t>
            </w:r>
          </w:p>
        </w:tc>
        <w:tc>
          <w:tcPr>
            <w:tcW w:w="1559" w:type="dxa"/>
          </w:tcPr>
          <w:p w14:paraId="516145F8" w14:textId="2115B4FB" w:rsidR="007268A6" w:rsidRDefault="007268A6" w:rsidP="007268A6">
            <w:pPr>
              <w:ind w:right="-174"/>
              <w:jc w:val="center"/>
              <w:cnfStyle w:val="100000000000" w:firstRow="1" w:lastRow="0" w:firstColumn="0" w:lastColumn="0" w:oddVBand="0" w:evenVBand="0" w:oddHBand="0" w:evenHBand="0" w:firstRowFirstColumn="0" w:firstRowLastColumn="0" w:lastRowFirstColumn="0" w:lastRowLastColumn="0"/>
              <w:rPr>
                <w:lang w:eastAsia="en-GB"/>
              </w:rPr>
            </w:pPr>
            <w:r>
              <w:rPr>
                <w:lang w:eastAsia="en-GB"/>
              </w:rPr>
              <w:t>Nacional</w:t>
            </w:r>
          </w:p>
        </w:tc>
        <w:tc>
          <w:tcPr>
            <w:tcW w:w="1628" w:type="dxa"/>
          </w:tcPr>
          <w:p w14:paraId="1BC61DC7" w14:textId="3CDD680F" w:rsidR="007268A6" w:rsidRDefault="007268A6" w:rsidP="007268A6">
            <w:pPr>
              <w:jc w:val="center"/>
              <w:cnfStyle w:val="100000000000" w:firstRow="1" w:lastRow="0" w:firstColumn="0" w:lastColumn="0" w:oddVBand="0" w:evenVBand="0" w:oddHBand="0" w:evenHBand="0" w:firstRowFirstColumn="0" w:firstRowLastColumn="0" w:lastRowFirstColumn="0" w:lastRowLastColumn="0"/>
              <w:rPr>
                <w:lang w:eastAsia="en-GB"/>
              </w:rPr>
            </w:pPr>
            <w:r>
              <w:rPr>
                <w:lang w:eastAsia="en-GB"/>
              </w:rPr>
              <w:t>Internacional</w:t>
            </w:r>
          </w:p>
        </w:tc>
      </w:tr>
      <w:tr w:rsidR="007268A6" w14:paraId="53B770F8" w14:textId="77777777" w:rsidTr="007268A6">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3686" w:type="dxa"/>
          </w:tcPr>
          <w:p w14:paraId="7F953E9F" w14:textId="25877476" w:rsidR="007268A6" w:rsidRPr="007268A6" w:rsidRDefault="007268A6" w:rsidP="007268A6">
            <w:pPr>
              <w:rPr>
                <w:b w:val="0"/>
                <w:bCs w:val="0"/>
                <w:i/>
                <w:iCs/>
                <w:sz w:val="20"/>
                <w:szCs w:val="20"/>
                <w:lang w:eastAsia="en-GB"/>
              </w:rPr>
            </w:pPr>
            <w:r w:rsidRPr="007268A6">
              <w:rPr>
                <w:b w:val="0"/>
                <w:bCs w:val="0"/>
                <w:i/>
                <w:iCs/>
                <w:sz w:val="20"/>
                <w:szCs w:val="20"/>
                <w:lang w:eastAsia="en-GB"/>
              </w:rPr>
              <w:t>Uso de suelo</w:t>
            </w:r>
          </w:p>
        </w:tc>
        <w:tc>
          <w:tcPr>
            <w:tcW w:w="1559" w:type="dxa"/>
          </w:tcPr>
          <w:p w14:paraId="1B905432" w14:textId="6A629DC4" w:rsidR="007268A6" w:rsidRDefault="00D6212C" w:rsidP="00D6212C">
            <w:pPr>
              <w:ind w:right="-174"/>
              <w:jc w:val="center"/>
              <w:cnfStyle w:val="000000100000" w:firstRow="0" w:lastRow="0" w:firstColumn="0" w:lastColumn="0" w:oddVBand="0" w:evenVBand="0" w:oddHBand="1" w:evenHBand="0" w:firstRowFirstColumn="0" w:firstRowLastColumn="0" w:lastRowFirstColumn="0" w:lastRowLastColumn="0"/>
              <w:rPr>
                <w:lang w:eastAsia="en-GB"/>
              </w:rPr>
            </w:pPr>
            <w:r>
              <w:rPr>
                <w:noProof/>
                <w:lang w:eastAsia="en-GB"/>
                <w14:ligatures w14:val="standardContextual"/>
              </w:rPr>
              <w:drawing>
                <wp:inline distT="0" distB="0" distL="0" distR="0" wp14:anchorId="644B68EE" wp14:editId="3C054E8C">
                  <wp:extent cx="171450" cy="171450"/>
                  <wp:effectExtent l="0" t="0" r="0" b="0"/>
                  <wp:docPr id="2084896532" name="Gráfico 6" descr="Marca de insignia1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896532" name="Gráfico 2084896532" descr="Marca de insignia1 con relleno sólido"/>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171450" cy="171450"/>
                          </a:xfrm>
                          <a:prstGeom prst="rect">
                            <a:avLst/>
                          </a:prstGeom>
                        </pic:spPr>
                      </pic:pic>
                    </a:graphicData>
                  </a:graphic>
                </wp:inline>
              </w:drawing>
            </w:r>
          </w:p>
        </w:tc>
        <w:tc>
          <w:tcPr>
            <w:tcW w:w="1628" w:type="dxa"/>
          </w:tcPr>
          <w:p w14:paraId="0AFAD484" w14:textId="778BA865" w:rsidR="007268A6" w:rsidRDefault="00D6212C" w:rsidP="00D6212C">
            <w:pPr>
              <w:jc w:val="center"/>
              <w:cnfStyle w:val="000000100000" w:firstRow="0" w:lastRow="0" w:firstColumn="0" w:lastColumn="0" w:oddVBand="0" w:evenVBand="0" w:oddHBand="1" w:evenHBand="0" w:firstRowFirstColumn="0" w:firstRowLastColumn="0" w:lastRowFirstColumn="0" w:lastRowLastColumn="0"/>
              <w:rPr>
                <w:lang w:eastAsia="en-GB"/>
              </w:rPr>
            </w:pPr>
            <w:r>
              <w:rPr>
                <w:noProof/>
                <w:lang w:eastAsia="en-GB"/>
                <w14:ligatures w14:val="standardContextual"/>
              </w:rPr>
              <w:drawing>
                <wp:inline distT="0" distB="0" distL="0" distR="0" wp14:anchorId="43C82DE4" wp14:editId="71955FC3">
                  <wp:extent cx="171450" cy="171450"/>
                  <wp:effectExtent l="0" t="0" r="0" b="0"/>
                  <wp:docPr id="437376436" name="Gráfico 6" descr="Marca de insignia1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896532" name="Gráfico 2084896532" descr="Marca de insignia1 con relleno sólido"/>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171450" cy="171450"/>
                          </a:xfrm>
                          <a:prstGeom prst="rect">
                            <a:avLst/>
                          </a:prstGeom>
                        </pic:spPr>
                      </pic:pic>
                    </a:graphicData>
                  </a:graphic>
                </wp:inline>
              </w:drawing>
            </w:r>
          </w:p>
        </w:tc>
      </w:tr>
      <w:tr w:rsidR="007268A6" w14:paraId="42E63B49" w14:textId="77777777" w:rsidTr="007268A6">
        <w:trPr>
          <w:trHeight w:val="270"/>
          <w:jc w:val="center"/>
        </w:trPr>
        <w:tc>
          <w:tcPr>
            <w:cnfStyle w:val="001000000000" w:firstRow="0" w:lastRow="0" w:firstColumn="1" w:lastColumn="0" w:oddVBand="0" w:evenVBand="0" w:oddHBand="0" w:evenHBand="0" w:firstRowFirstColumn="0" w:firstRowLastColumn="0" w:lastRowFirstColumn="0" w:lastRowLastColumn="0"/>
            <w:tcW w:w="3686" w:type="dxa"/>
          </w:tcPr>
          <w:p w14:paraId="3F75A998" w14:textId="7768F5D3" w:rsidR="007268A6" w:rsidRPr="007268A6" w:rsidRDefault="007268A6" w:rsidP="007268A6">
            <w:pPr>
              <w:rPr>
                <w:b w:val="0"/>
                <w:bCs w:val="0"/>
                <w:i/>
                <w:iCs/>
                <w:sz w:val="20"/>
                <w:szCs w:val="20"/>
                <w:lang w:eastAsia="en-GB"/>
              </w:rPr>
            </w:pPr>
            <w:r w:rsidRPr="007268A6">
              <w:rPr>
                <w:b w:val="0"/>
                <w:bCs w:val="0"/>
                <w:i/>
                <w:iCs/>
                <w:sz w:val="20"/>
                <w:szCs w:val="20"/>
                <w:lang w:eastAsia="en-GB"/>
              </w:rPr>
              <w:t xml:space="preserve">Permiso Sanitario de </w:t>
            </w:r>
            <w:r>
              <w:rPr>
                <w:b w:val="0"/>
                <w:bCs w:val="0"/>
                <w:i/>
                <w:iCs/>
                <w:sz w:val="20"/>
                <w:szCs w:val="20"/>
                <w:lang w:eastAsia="en-GB"/>
              </w:rPr>
              <w:t>f</w:t>
            </w:r>
            <w:r w:rsidRPr="007268A6">
              <w:rPr>
                <w:b w:val="0"/>
                <w:bCs w:val="0"/>
                <w:i/>
                <w:iCs/>
                <w:sz w:val="20"/>
                <w:szCs w:val="20"/>
                <w:lang w:eastAsia="en-GB"/>
              </w:rPr>
              <w:t>uncionamiento</w:t>
            </w:r>
          </w:p>
        </w:tc>
        <w:tc>
          <w:tcPr>
            <w:tcW w:w="1559" w:type="dxa"/>
          </w:tcPr>
          <w:p w14:paraId="1FF7FB58" w14:textId="56658A36" w:rsidR="007268A6" w:rsidRDefault="00D6212C" w:rsidP="00D6212C">
            <w:pPr>
              <w:ind w:right="-174"/>
              <w:jc w:val="center"/>
              <w:cnfStyle w:val="000000000000" w:firstRow="0" w:lastRow="0" w:firstColumn="0" w:lastColumn="0" w:oddVBand="0" w:evenVBand="0" w:oddHBand="0" w:evenHBand="0" w:firstRowFirstColumn="0" w:firstRowLastColumn="0" w:lastRowFirstColumn="0" w:lastRowLastColumn="0"/>
              <w:rPr>
                <w:lang w:eastAsia="en-GB"/>
              </w:rPr>
            </w:pPr>
            <w:r>
              <w:rPr>
                <w:noProof/>
                <w:lang w:eastAsia="en-GB"/>
                <w14:ligatures w14:val="standardContextual"/>
              </w:rPr>
              <w:drawing>
                <wp:inline distT="0" distB="0" distL="0" distR="0" wp14:anchorId="10742F55" wp14:editId="54489111">
                  <wp:extent cx="171450" cy="171450"/>
                  <wp:effectExtent l="0" t="0" r="0" b="0"/>
                  <wp:docPr id="890808253" name="Gráfico 6" descr="Marca de insignia1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896532" name="Gráfico 2084896532" descr="Marca de insignia1 con relleno sólido"/>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171450" cy="171450"/>
                          </a:xfrm>
                          <a:prstGeom prst="rect">
                            <a:avLst/>
                          </a:prstGeom>
                        </pic:spPr>
                      </pic:pic>
                    </a:graphicData>
                  </a:graphic>
                </wp:inline>
              </w:drawing>
            </w:r>
          </w:p>
        </w:tc>
        <w:tc>
          <w:tcPr>
            <w:tcW w:w="1628" w:type="dxa"/>
          </w:tcPr>
          <w:p w14:paraId="0772319E" w14:textId="33BE2164" w:rsidR="007268A6" w:rsidRDefault="00D6212C" w:rsidP="00D6212C">
            <w:pPr>
              <w:jc w:val="center"/>
              <w:cnfStyle w:val="000000000000" w:firstRow="0" w:lastRow="0" w:firstColumn="0" w:lastColumn="0" w:oddVBand="0" w:evenVBand="0" w:oddHBand="0" w:evenHBand="0" w:firstRowFirstColumn="0" w:firstRowLastColumn="0" w:lastRowFirstColumn="0" w:lastRowLastColumn="0"/>
              <w:rPr>
                <w:lang w:eastAsia="en-GB"/>
              </w:rPr>
            </w:pPr>
            <w:r>
              <w:rPr>
                <w:noProof/>
                <w:lang w:eastAsia="en-GB"/>
                <w14:ligatures w14:val="standardContextual"/>
              </w:rPr>
              <w:drawing>
                <wp:inline distT="0" distB="0" distL="0" distR="0" wp14:anchorId="2013CCD7" wp14:editId="32A60539">
                  <wp:extent cx="171450" cy="171450"/>
                  <wp:effectExtent l="0" t="0" r="0" b="0"/>
                  <wp:docPr id="455503729" name="Gráfico 6" descr="Marca de insignia1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896532" name="Gráfico 2084896532" descr="Marca de insignia1 con relleno sólido"/>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171450" cy="171450"/>
                          </a:xfrm>
                          <a:prstGeom prst="rect">
                            <a:avLst/>
                          </a:prstGeom>
                        </pic:spPr>
                      </pic:pic>
                    </a:graphicData>
                  </a:graphic>
                </wp:inline>
              </w:drawing>
            </w:r>
          </w:p>
        </w:tc>
      </w:tr>
      <w:tr w:rsidR="007268A6" w14:paraId="292B79A1" w14:textId="77777777" w:rsidTr="007268A6">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3686" w:type="dxa"/>
          </w:tcPr>
          <w:p w14:paraId="157D44E7" w14:textId="6D3F0A6F" w:rsidR="007268A6" w:rsidRPr="007268A6" w:rsidRDefault="007268A6" w:rsidP="007268A6">
            <w:pPr>
              <w:rPr>
                <w:b w:val="0"/>
                <w:bCs w:val="0"/>
                <w:i/>
                <w:iCs/>
                <w:sz w:val="20"/>
                <w:szCs w:val="20"/>
                <w:lang w:eastAsia="en-GB"/>
              </w:rPr>
            </w:pPr>
            <w:r w:rsidRPr="007268A6">
              <w:rPr>
                <w:b w:val="0"/>
                <w:bCs w:val="0"/>
                <w:i/>
                <w:iCs/>
                <w:sz w:val="20"/>
                <w:szCs w:val="20"/>
                <w:lang w:eastAsia="en-GB"/>
              </w:rPr>
              <w:t>Patente Municipal</w:t>
            </w:r>
          </w:p>
        </w:tc>
        <w:tc>
          <w:tcPr>
            <w:tcW w:w="1559" w:type="dxa"/>
          </w:tcPr>
          <w:p w14:paraId="01C8FC2F" w14:textId="0B71F741" w:rsidR="007268A6" w:rsidRDefault="00D6212C" w:rsidP="00D6212C">
            <w:pPr>
              <w:ind w:right="-174"/>
              <w:jc w:val="center"/>
              <w:cnfStyle w:val="000000100000" w:firstRow="0" w:lastRow="0" w:firstColumn="0" w:lastColumn="0" w:oddVBand="0" w:evenVBand="0" w:oddHBand="1" w:evenHBand="0" w:firstRowFirstColumn="0" w:firstRowLastColumn="0" w:lastRowFirstColumn="0" w:lastRowLastColumn="0"/>
              <w:rPr>
                <w:lang w:eastAsia="en-GB"/>
              </w:rPr>
            </w:pPr>
            <w:r>
              <w:rPr>
                <w:noProof/>
                <w:lang w:eastAsia="en-GB"/>
                <w14:ligatures w14:val="standardContextual"/>
              </w:rPr>
              <w:drawing>
                <wp:inline distT="0" distB="0" distL="0" distR="0" wp14:anchorId="2E272319" wp14:editId="2E7A4F8C">
                  <wp:extent cx="171450" cy="171450"/>
                  <wp:effectExtent l="0" t="0" r="0" b="0"/>
                  <wp:docPr id="1567501053" name="Gráfico 6" descr="Marca de insignia1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896532" name="Gráfico 2084896532" descr="Marca de insignia1 con relleno sólido"/>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171450" cy="171450"/>
                          </a:xfrm>
                          <a:prstGeom prst="rect">
                            <a:avLst/>
                          </a:prstGeom>
                        </pic:spPr>
                      </pic:pic>
                    </a:graphicData>
                  </a:graphic>
                </wp:inline>
              </w:drawing>
            </w:r>
          </w:p>
        </w:tc>
        <w:tc>
          <w:tcPr>
            <w:tcW w:w="1628" w:type="dxa"/>
          </w:tcPr>
          <w:p w14:paraId="167F3546" w14:textId="589034F8" w:rsidR="007268A6" w:rsidRDefault="00D6212C" w:rsidP="00D6212C">
            <w:pPr>
              <w:jc w:val="center"/>
              <w:cnfStyle w:val="000000100000" w:firstRow="0" w:lastRow="0" w:firstColumn="0" w:lastColumn="0" w:oddVBand="0" w:evenVBand="0" w:oddHBand="1" w:evenHBand="0" w:firstRowFirstColumn="0" w:firstRowLastColumn="0" w:lastRowFirstColumn="0" w:lastRowLastColumn="0"/>
              <w:rPr>
                <w:lang w:eastAsia="en-GB"/>
              </w:rPr>
            </w:pPr>
            <w:r>
              <w:rPr>
                <w:noProof/>
                <w:lang w:eastAsia="en-GB"/>
                <w14:ligatures w14:val="standardContextual"/>
              </w:rPr>
              <w:drawing>
                <wp:inline distT="0" distB="0" distL="0" distR="0" wp14:anchorId="2F4CECA8" wp14:editId="351FA559">
                  <wp:extent cx="171450" cy="171450"/>
                  <wp:effectExtent l="0" t="0" r="0" b="0"/>
                  <wp:docPr id="1763526971" name="Gráfico 6" descr="Marca de insignia1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896532" name="Gráfico 2084896532" descr="Marca de insignia1 con relleno sólido"/>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171450" cy="171450"/>
                          </a:xfrm>
                          <a:prstGeom prst="rect">
                            <a:avLst/>
                          </a:prstGeom>
                        </pic:spPr>
                      </pic:pic>
                    </a:graphicData>
                  </a:graphic>
                </wp:inline>
              </w:drawing>
            </w:r>
          </w:p>
        </w:tc>
      </w:tr>
      <w:tr w:rsidR="007268A6" w14:paraId="47DB7A5C" w14:textId="77777777" w:rsidTr="007268A6">
        <w:trPr>
          <w:trHeight w:val="260"/>
          <w:jc w:val="center"/>
        </w:trPr>
        <w:tc>
          <w:tcPr>
            <w:cnfStyle w:val="001000000000" w:firstRow="0" w:lastRow="0" w:firstColumn="1" w:lastColumn="0" w:oddVBand="0" w:evenVBand="0" w:oddHBand="0" w:evenHBand="0" w:firstRowFirstColumn="0" w:firstRowLastColumn="0" w:lastRowFirstColumn="0" w:lastRowLastColumn="0"/>
            <w:tcW w:w="3686" w:type="dxa"/>
          </w:tcPr>
          <w:p w14:paraId="03E5CCA4" w14:textId="1170A026" w:rsidR="007268A6" w:rsidRPr="007268A6" w:rsidRDefault="007268A6" w:rsidP="007268A6">
            <w:pPr>
              <w:rPr>
                <w:b w:val="0"/>
                <w:bCs w:val="0"/>
                <w:i/>
                <w:iCs/>
                <w:sz w:val="20"/>
                <w:szCs w:val="20"/>
                <w:lang w:eastAsia="en-GB"/>
              </w:rPr>
            </w:pPr>
            <w:r w:rsidRPr="007268A6">
              <w:rPr>
                <w:b w:val="0"/>
                <w:bCs w:val="0"/>
                <w:i/>
                <w:iCs/>
                <w:sz w:val="20"/>
                <w:szCs w:val="20"/>
                <w:lang w:eastAsia="en-GB"/>
              </w:rPr>
              <w:t>Registro CCSS</w:t>
            </w:r>
          </w:p>
        </w:tc>
        <w:tc>
          <w:tcPr>
            <w:tcW w:w="1559" w:type="dxa"/>
          </w:tcPr>
          <w:p w14:paraId="21E85711" w14:textId="0CC7A80A" w:rsidR="007268A6" w:rsidRDefault="00D6212C" w:rsidP="00D6212C">
            <w:pPr>
              <w:ind w:right="-174"/>
              <w:jc w:val="center"/>
              <w:cnfStyle w:val="000000000000" w:firstRow="0" w:lastRow="0" w:firstColumn="0" w:lastColumn="0" w:oddVBand="0" w:evenVBand="0" w:oddHBand="0" w:evenHBand="0" w:firstRowFirstColumn="0" w:firstRowLastColumn="0" w:lastRowFirstColumn="0" w:lastRowLastColumn="0"/>
              <w:rPr>
                <w:lang w:eastAsia="en-GB"/>
              </w:rPr>
            </w:pPr>
            <w:r>
              <w:rPr>
                <w:noProof/>
                <w:lang w:eastAsia="en-GB"/>
                <w14:ligatures w14:val="standardContextual"/>
              </w:rPr>
              <w:drawing>
                <wp:inline distT="0" distB="0" distL="0" distR="0" wp14:anchorId="62863A5C" wp14:editId="5279B423">
                  <wp:extent cx="171450" cy="171450"/>
                  <wp:effectExtent l="0" t="0" r="0" b="0"/>
                  <wp:docPr id="1322321774" name="Gráfico 6" descr="Marca de insignia1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896532" name="Gráfico 2084896532" descr="Marca de insignia1 con relleno sólido"/>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171450" cy="171450"/>
                          </a:xfrm>
                          <a:prstGeom prst="rect">
                            <a:avLst/>
                          </a:prstGeom>
                        </pic:spPr>
                      </pic:pic>
                    </a:graphicData>
                  </a:graphic>
                </wp:inline>
              </w:drawing>
            </w:r>
          </w:p>
        </w:tc>
        <w:tc>
          <w:tcPr>
            <w:tcW w:w="1628" w:type="dxa"/>
          </w:tcPr>
          <w:p w14:paraId="6960F673" w14:textId="7ACAAF1A" w:rsidR="007268A6" w:rsidRDefault="00D6212C" w:rsidP="00D6212C">
            <w:pPr>
              <w:jc w:val="center"/>
              <w:cnfStyle w:val="000000000000" w:firstRow="0" w:lastRow="0" w:firstColumn="0" w:lastColumn="0" w:oddVBand="0" w:evenVBand="0" w:oddHBand="0" w:evenHBand="0" w:firstRowFirstColumn="0" w:firstRowLastColumn="0" w:lastRowFirstColumn="0" w:lastRowLastColumn="0"/>
              <w:rPr>
                <w:lang w:eastAsia="en-GB"/>
              </w:rPr>
            </w:pPr>
            <w:r>
              <w:rPr>
                <w:noProof/>
                <w:lang w:eastAsia="en-GB"/>
                <w14:ligatures w14:val="standardContextual"/>
              </w:rPr>
              <w:drawing>
                <wp:inline distT="0" distB="0" distL="0" distR="0" wp14:anchorId="4CAC810A" wp14:editId="10DF3B92">
                  <wp:extent cx="171450" cy="171450"/>
                  <wp:effectExtent l="0" t="0" r="0" b="0"/>
                  <wp:docPr id="169801892" name="Gráfico 6" descr="Marca de insignia1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896532" name="Gráfico 2084896532" descr="Marca de insignia1 con relleno sólido"/>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171450" cy="171450"/>
                          </a:xfrm>
                          <a:prstGeom prst="rect">
                            <a:avLst/>
                          </a:prstGeom>
                        </pic:spPr>
                      </pic:pic>
                    </a:graphicData>
                  </a:graphic>
                </wp:inline>
              </w:drawing>
            </w:r>
          </w:p>
        </w:tc>
      </w:tr>
      <w:tr w:rsidR="007268A6" w14:paraId="7D4DFBE5" w14:textId="77777777" w:rsidTr="007268A6">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3686" w:type="dxa"/>
          </w:tcPr>
          <w:p w14:paraId="49F1FA6E" w14:textId="6DE168E3" w:rsidR="007268A6" w:rsidRPr="007268A6" w:rsidRDefault="007268A6" w:rsidP="007268A6">
            <w:pPr>
              <w:rPr>
                <w:b w:val="0"/>
                <w:bCs w:val="0"/>
                <w:i/>
                <w:iCs/>
                <w:sz w:val="20"/>
                <w:szCs w:val="20"/>
                <w:lang w:eastAsia="en-GB"/>
              </w:rPr>
            </w:pPr>
            <w:r w:rsidRPr="007268A6">
              <w:rPr>
                <w:b w:val="0"/>
                <w:bCs w:val="0"/>
                <w:i/>
                <w:iCs/>
                <w:sz w:val="20"/>
                <w:szCs w:val="20"/>
                <w:lang w:eastAsia="en-GB"/>
              </w:rPr>
              <w:t xml:space="preserve">Registro contribuyente </w:t>
            </w:r>
          </w:p>
        </w:tc>
        <w:tc>
          <w:tcPr>
            <w:tcW w:w="1559" w:type="dxa"/>
          </w:tcPr>
          <w:p w14:paraId="63213416" w14:textId="029368C8" w:rsidR="007268A6" w:rsidRDefault="00D6212C" w:rsidP="00D6212C">
            <w:pPr>
              <w:ind w:right="-174"/>
              <w:jc w:val="center"/>
              <w:cnfStyle w:val="000000100000" w:firstRow="0" w:lastRow="0" w:firstColumn="0" w:lastColumn="0" w:oddVBand="0" w:evenVBand="0" w:oddHBand="1" w:evenHBand="0" w:firstRowFirstColumn="0" w:firstRowLastColumn="0" w:lastRowFirstColumn="0" w:lastRowLastColumn="0"/>
              <w:rPr>
                <w:lang w:eastAsia="en-GB"/>
              </w:rPr>
            </w:pPr>
            <w:r>
              <w:rPr>
                <w:noProof/>
                <w:lang w:eastAsia="en-GB"/>
                <w14:ligatures w14:val="standardContextual"/>
              </w:rPr>
              <w:drawing>
                <wp:inline distT="0" distB="0" distL="0" distR="0" wp14:anchorId="6C277554" wp14:editId="40CD0BF5">
                  <wp:extent cx="171450" cy="171450"/>
                  <wp:effectExtent l="0" t="0" r="0" b="0"/>
                  <wp:docPr id="584145285" name="Gráfico 6" descr="Marca de insignia1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896532" name="Gráfico 2084896532" descr="Marca de insignia1 con relleno sólido"/>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171450" cy="171450"/>
                          </a:xfrm>
                          <a:prstGeom prst="rect">
                            <a:avLst/>
                          </a:prstGeom>
                        </pic:spPr>
                      </pic:pic>
                    </a:graphicData>
                  </a:graphic>
                </wp:inline>
              </w:drawing>
            </w:r>
          </w:p>
        </w:tc>
        <w:tc>
          <w:tcPr>
            <w:tcW w:w="1628" w:type="dxa"/>
          </w:tcPr>
          <w:p w14:paraId="0BD81FF0" w14:textId="05F5DA0E" w:rsidR="007268A6" w:rsidRDefault="00D6212C" w:rsidP="00D6212C">
            <w:pPr>
              <w:jc w:val="center"/>
              <w:cnfStyle w:val="000000100000" w:firstRow="0" w:lastRow="0" w:firstColumn="0" w:lastColumn="0" w:oddVBand="0" w:evenVBand="0" w:oddHBand="1" w:evenHBand="0" w:firstRowFirstColumn="0" w:firstRowLastColumn="0" w:lastRowFirstColumn="0" w:lastRowLastColumn="0"/>
              <w:rPr>
                <w:lang w:eastAsia="en-GB"/>
              </w:rPr>
            </w:pPr>
            <w:r>
              <w:rPr>
                <w:noProof/>
                <w:lang w:eastAsia="en-GB"/>
                <w14:ligatures w14:val="standardContextual"/>
              </w:rPr>
              <w:drawing>
                <wp:inline distT="0" distB="0" distL="0" distR="0" wp14:anchorId="43BB0E5F" wp14:editId="7A2330B1">
                  <wp:extent cx="171450" cy="171450"/>
                  <wp:effectExtent l="0" t="0" r="0" b="0"/>
                  <wp:docPr id="869882600" name="Gráfico 6" descr="Marca de insignia1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896532" name="Gráfico 2084896532" descr="Marca de insignia1 con relleno sólido"/>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171450" cy="171450"/>
                          </a:xfrm>
                          <a:prstGeom prst="rect">
                            <a:avLst/>
                          </a:prstGeom>
                        </pic:spPr>
                      </pic:pic>
                    </a:graphicData>
                  </a:graphic>
                </wp:inline>
              </w:drawing>
            </w:r>
          </w:p>
        </w:tc>
      </w:tr>
      <w:tr w:rsidR="007268A6" w14:paraId="2D329499" w14:textId="77777777" w:rsidTr="007268A6">
        <w:trPr>
          <w:trHeight w:val="270"/>
          <w:jc w:val="center"/>
        </w:trPr>
        <w:tc>
          <w:tcPr>
            <w:cnfStyle w:val="001000000000" w:firstRow="0" w:lastRow="0" w:firstColumn="1" w:lastColumn="0" w:oddVBand="0" w:evenVBand="0" w:oddHBand="0" w:evenHBand="0" w:firstRowFirstColumn="0" w:firstRowLastColumn="0" w:lastRowFirstColumn="0" w:lastRowLastColumn="0"/>
            <w:tcW w:w="3686" w:type="dxa"/>
          </w:tcPr>
          <w:p w14:paraId="33C58BDC" w14:textId="4FDBEDE6" w:rsidR="007268A6" w:rsidRPr="007268A6" w:rsidRDefault="007268A6" w:rsidP="007268A6">
            <w:pPr>
              <w:rPr>
                <w:b w:val="0"/>
                <w:bCs w:val="0"/>
                <w:i/>
                <w:iCs/>
                <w:sz w:val="20"/>
                <w:szCs w:val="20"/>
                <w:lang w:eastAsia="en-GB"/>
              </w:rPr>
            </w:pPr>
            <w:r w:rsidRPr="007268A6">
              <w:rPr>
                <w:b w:val="0"/>
                <w:bCs w:val="0"/>
                <w:i/>
                <w:iCs/>
                <w:sz w:val="20"/>
                <w:szCs w:val="20"/>
                <w:lang w:eastAsia="en-GB"/>
              </w:rPr>
              <w:t>Póliza de riesgos laborales</w:t>
            </w:r>
          </w:p>
        </w:tc>
        <w:tc>
          <w:tcPr>
            <w:tcW w:w="1559" w:type="dxa"/>
          </w:tcPr>
          <w:p w14:paraId="3C934094" w14:textId="7D2C5BA8" w:rsidR="007268A6" w:rsidRDefault="00D6212C" w:rsidP="00D6212C">
            <w:pPr>
              <w:ind w:right="-174"/>
              <w:jc w:val="center"/>
              <w:cnfStyle w:val="000000000000" w:firstRow="0" w:lastRow="0" w:firstColumn="0" w:lastColumn="0" w:oddVBand="0" w:evenVBand="0" w:oddHBand="0" w:evenHBand="0" w:firstRowFirstColumn="0" w:firstRowLastColumn="0" w:lastRowFirstColumn="0" w:lastRowLastColumn="0"/>
              <w:rPr>
                <w:lang w:eastAsia="en-GB"/>
              </w:rPr>
            </w:pPr>
            <w:r>
              <w:rPr>
                <w:noProof/>
                <w:lang w:eastAsia="en-GB"/>
                <w14:ligatures w14:val="standardContextual"/>
              </w:rPr>
              <w:drawing>
                <wp:inline distT="0" distB="0" distL="0" distR="0" wp14:anchorId="29C52D66" wp14:editId="0C6B7527">
                  <wp:extent cx="171450" cy="171450"/>
                  <wp:effectExtent l="0" t="0" r="0" b="0"/>
                  <wp:docPr id="1256929003" name="Gráfico 6" descr="Marca de insignia1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896532" name="Gráfico 2084896532" descr="Marca de insignia1 con relleno sólido"/>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171450" cy="171450"/>
                          </a:xfrm>
                          <a:prstGeom prst="rect">
                            <a:avLst/>
                          </a:prstGeom>
                        </pic:spPr>
                      </pic:pic>
                    </a:graphicData>
                  </a:graphic>
                </wp:inline>
              </w:drawing>
            </w:r>
          </w:p>
        </w:tc>
        <w:tc>
          <w:tcPr>
            <w:tcW w:w="1628" w:type="dxa"/>
          </w:tcPr>
          <w:p w14:paraId="78213671" w14:textId="174240CD" w:rsidR="007268A6" w:rsidRDefault="00D6212C" w:rsidP="00D6212C">
            <w:pPr>
              <w:jc w:val="center"/>
              <w:cnfStyle w:val="000000000000" w:firstRow="0" w:lastRow="0" w:firstColumn="0" w:lastColumn="0" w:oddVBand="0" w:evenVBand="0" w:oddHBand="0" w:evenHBand="0" w:firstRowFirstColumn="0" w:firstRowLastColumn="0" w:lastRowFirstColumn="0" w:lastRowLastColumn="0"/>
              <w:rPr>
                <w:lang w:eastAsia="en-GB"/>
              </w:rPr>
            </w:pPr>
            <w:r>
              <w:rPr>
                <w:noProof/>
                <w:lang w:eastAsia="en-GB"/>
                <w14:ligatures w14:val="standardContextual"/>
              </w:rPr>
              <w:drawing>
                <wp:inline distT="0" distB="0" distL="0" distR="0" wp14:anchorId="63BCA61A" wp14:editId="573D2509">
                  <wp:extent cx="171450" cy="171450"/>
                  <wp:effectExtent l="0" t="0" r="0" b="0"/>
                  <wp:docPr id="1731790945" name="Gráfico 6" descr="Marca de insignia1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896532" name="Gráfico 2084896532" descr="Marca de insignia1 con relleno sólido"/>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171450" cy="171450"/>
                          </a:xfrm>
                          <a:prstGeom prst="rect">
                            <a:avLst/>
                          </a:prstGeom>
                        </pic:spPr>
                      </pic:pic>
                    </a:graphicData>
                  </a:graphic>
                </wp:inline>
              </w:drawing>
            </w:r>
          </w:p>
        </w:tc>
      </w:tr>
      <w:tr w:rsidR="00D6212C" w14:paraId="4AED8A21" w14:textId="77777777" w:rsidTr="007268A6">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3686" w:type="dxa"/>
          </w:tcPr>
          <w:p w14:paraId="087B7BB1" w14:textId="262C4E9F" w:rsidR="00D6212C" w:rsidRPr="007268A6" w:rsidRDefault="00D6212C" w:rsidP="00D6212C">
            <w:pPr>
              <w:rPr>
                <w:b w:val="0"/>
                <w:bCs w:val="0"/>
                <w:i/>
                <w:iCs/>
                <w:sz w:val="20"/>
                <w:szCs w:val="20"/>
                <w:lang w:eastAsia="en-GB"/>
              </w:rPr>
            </w:pPr>
            <w:r w:rsidRPr="007268A6">
              <w:rPr>
                <w:b w:val="0"/>
                <w:bCs w:val="0"/>
                <w:i/>
                <w:iCs/>
                <w:sz w:val="20"/>
                <w:szCs w:val="20"/>
                <w:lang w:eastAsia="en-GB"/>
              </w:rPr>
              <w:t>Certificado fitosanitario</w:t>
            </w:r>
          </w:p>
        </w:tc>
        <w:tc>
          <w:tcPr>
            <w:tcW w:w="1559" w:type="dxa"/>
          </w:tcPr>
          <w:p w14:paraId="0444DB12" w14:textId="63A8312B" w:rsidR="00D6212C" w:rsidRDefault="00D6212C" w:rsidP="00D6212C">
            <w:pPr>
              <w:ind w:right="-174"/>
              <w:jc w:val="center"/>
              <w:cnfStyle w:val="000000100000" w:firstRow="0" w:lastRow="0" w:firstColumn="0" w:lastColumn="0" w:oddVBand="0" w:evenVBand="0" w:oddHBand="1" w:evenHBand="0" w:firstRowFirstColumn="0" w:firstRowLastColumn="0" w:lastRowFirstColumn="0" w:lastRowLastColumn="0"/>
              <w:rPr>
                <w:lang w:eastAsia="en-GB"/>
              </w:rPr>
            </w:pPr>
            <w:r>
              <w:rPr>
                <w:noProof/>
                <w:lang w:eastAsia="en-GB"/>
                <w14:ligatures w14:val="standardContextual"/>
              </w:rPr>
              <w:drawing>
                <wp:inline distT="0" distB="0" distL="0" distR="0" wp14:anchorId="46733229" wp14:editId="4C582C2E">
                  <wp:extent cx="171450" cy="171450"/>
                  <wp:effectExtent l="0" t="0" r="0" b="0"/>
                  <wp:docPr id="1399021043" name="Gráfico 6" descr="Marca de insignia1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896532" name="Gráfico 2084896532" descr="Marca de insignia1 con relleno sólido"/>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171450" cy="171450"/>
                          </a:xfrm>
                          <a:prstGeom prst="rect">
                            <a:avLst/>
                          </a:prstGeom>
                        </pic:spPr>
                      </pic:pic>
                    </a:graphicData>
                  </a:graphic>
                </wp:inline>
              </w:drawing>
            </w:r>
          </w:p>
        </w:tc>
        <w:tc>
          <w:tcPr>
            <w:tcW w:w="1628" w:type="dxa"/>
          </w:tcPr>
          <w:p w14:paraId="6094E3A1" w14:textId="1ED8E74D" w:rsidR="00D6212C" w:rsidRDefault="00D6212C" w:rsidP="00D6212C">
            <w:pPr>
              <w:jc w:val="center"/>
              <w:cnfStyle w:val="000000100000" w:firstRow="0" w:lastRow="0" w:firstColumn="0" w:lastColumn="0" w:oddVBand="0" w:evenVBand="0" w:oddHBand="1" w:evenHBand="0" w:firstRowFirstColumn="0" w:firstRowLastColumn="0" w:lastRowFirstColumn="0" w:lastRowLastColumn="0"/>
              <w:rPr>
                <w:lang w:eastAsia="en-GB"/>
              </w:rPr>
            </w:pPr>
            <w:r w:rsidRPr="005C23BD">
              <w:rPr>
                <w:noProof/>
                <w:lang w:eastAsia="en-GB"/>
                <w14:ligatures w14:val="standardContextual"/>
              </w:rPr>
              <w:drawing>
                <wp:inline distT="0" distB="0" distL="0" distR="0" wp14:anchorId="022E47FF" wp14:editId="448CBF01">
                  <wp:extent cx="171450" cy="171450"/>
                  <wp:effectExtent l="0" t="0" r="0" b="0"/>
                  <wp:docPr id="1893958606" name="Gráfico 6" descr="Marca de insignia1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896532" name="Gráfico 2084896532" descr="Marca de insignia1 con relleno sólido"/>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171450" cy="171450"/>
                          </a:xfrm>
                          <a:prstGeom prst="rect">
                            <a:avLst/>
                          </a:prstGeom>
                        </pic:spPr>
                      </pic:pic>
                    </a:graphicData>
                  </a:graphic>
                </wp:inline>
              </w:drawing>
            </w:r>
          </w:p>
        </w:tc>
      </w:tr>
      <w:tr w:rsidR="00D6212C" w14:paraId="39E7B13C" w14:textId="77777777" w:rsidTr="007268A6">
        <w:trPr>
          <w:trHeight w:val="270"/>
          <w:jc w:val="center"/>
        </w:trPr>
        <w:tc>
          <w:tcPr>
            <w:cnfStyle w:val="001000000000" w:firstRow="0" w:lastRow="0" w:firstColumn="1" w:lastColumn="0" w:oddVBand="0" w:evenVBand="0" w:oddHBand="0" w:evenHBand="0" w:firstRowFirstColumn="0" w:firstRowLastColumn="0" w:lastRowFirstColumn="0" w:lastRowLastColumn="0"/>
            <w:tcW w:w="3686" w:type="dxa"/>
          </w:tcPr>
          <w:p w14:paraId="5A17F3F9" w14:textId="5C2528F8" w:rsidR="00D6212C" w:rsidRPr="007268A6" w:rsidRDefault="00D6212C" w:rsidP="00D6212C">
            <w:pPr>
              <w:rPr>
                <w:b w:val="0"/>
                <w:bCs w:val="0"/>
                <w:i/>
                <w:iCs/>
                <w:sz w:val="20"/>
                <w:szCs w:val="20"/>
                <w:lang w:eastAsia="en-GB"/>
              </w:rPr>
            </w:pPr>
            <w:r w:rsidRPr="007268A6">
              <w:rPr>
                <w:b w:val="0"/>
                <w:bCs w:val="0"/>
                <w:i/>
                <w:iCs/>
                <w:sz w:val="20"/>
                <w:szCs w:val="20"/>
                <w:lang w:eastAsia="en-GB"/>
              </w:rPr>
              <w:t>Registro único exportador (RUE)</w:t>
            </w:r>
          </w:p>
        </w:tc>
        <w:tc>
          <w:tcPr>
            <w:tcW w:w="1559" w:type="dxa"/>
          </w:tcPr>
          <w:p w14:paraId="63F78E4B" w14:textId="7E4A42FE" w:rsidR="00D6212C" w:rsidRDefault="00D6212C" w:rsidP="00D6212C">
            <w:pPr>
              <w:ind w:right="-174"/>
              <w:jc w:val="center"/>
              <w:cnfStyle w:val="000000000000" w:firstRow="0" w:lastRow="0" w:firstColumn="0" w:lastColumn="0" w:oddVBand="0" w:evenVBand="0" w:oddHBand="0" w:evenHBand="0" w:firstRowFirstColumn="0" w:firstRowLastColumn="0" w:lastRowFirstColumn="0" w:lastRowLastColumn="0"/>
              <w:rPr>
                <w:lang w:eastAsia="en-GB"/>
              </w:rPr>
            </w:pPr>
            <w:r>
              <w:rPr>
                <w:noProof/>
                <w:lang w:eastAsia="en-GB"/>
                <w14:ligatures w14:val="standardContextual"/>
              </w:rPr>
              <w:drawing>
                <wp:inline distT="0" distB="0" distL="0" distR="0" wp14:anchorId="01F901F0" wp14:editId="0BD03D5F">
                  <wp:extent cx="184150" cy="184150"/>
                  <wp:effectExtent l="0" t="0" r="6350" b="6350"/>
                  <wp:docPr id="1856056318" name="Gráfico 7" descr="Insignia de cruz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056318" name="Gráfico 1856056318" descr="Insignia de cruz con relleno sólido"/>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flipV="1">
                            <a:off x="0" y="0"/>
                            <a:ext cx="184150" cy="184150"/>
                          </a:xfrm>
                          <a:prstGeom prst="rect">
                            <a:avLst/>
                          </a:prstGeom>
                        </pic:spPr>
                      </pic:pic>
                    </a:graphicData>
                  </a:graphic>
                </wp:inline>
              </w:drawing>
            </w:r>
          </w:p>
        </w:tc>
        <w:tc>
          <w:tcPr>
            <w:tcW w:w="1628" w:type="dxa"/>
          </w:tcPr>
          <w:p w14:paraId="2B1AB03C" w14:textId="66885A23" w:rsidR="00D6212C" w:rsidRDefault="00D6212C" w:rsidP="00D6212C">
            <w:pPr>
              <w:jc w:val="center"/>
              <w:cnfStyle w:val="000000000000" w:firstRow="0" w:lastRow="0" w:firstColumn="0" w:lastColumn="0" w:oddVBand="0" w:evenVBand="0" w:oddHBand="0" w:evenHBand="0" w:firstRowFirstColumn="0" w:firstRowLastColumn="0" w:lastRowFirstColumn="0" w:lastRowLastColumn="0"/>
              <w:rPr>
                <w:lang w:eastAsia="en-GB"/>
              </w:rPr>
            </w:pPr>
            <w:r w:rsidRPr="005C23BD">
              <w:rPr>
                <w:noProof/>
                <w:lang w:eastAsia="en-GB"/>
                <w14:ligatures w14:val="standardContextual"/>
              </w:rPr>
              <w:drawing>
                <wp:inline distT="0" distB="0" distL="0" distR="0" wp14:anchorId="17F6DA37" wp14:editId="741E403A">
                  <wp:extent cx="171450" cy="171450"/>
                  <wp:effectExtent l="0" t="0" r="0" b="0"/>
                  <wp:docPr id="1472622492" name="Gráfico 6" descr="Marca de insignia1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896532" name="Gráfico 2084896532" descr="Marca de insignia1 con relleno sólido"/>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171450" cy="171450"/>
                          </a:xfrm>
                          <a:prstGeom prst="rect">
                            <a:avLst/>
                          </a:prstGeom>
                        </pic:spPr>
                      </pic:pic>
                    </a:graphicData>
                  </a:graphic>
                </wp:inline>
              </w:drawing>
            </w:r>
          </w:p>
        </w:tc>
      </w:tr>
      <w:tr w:rsidR="00D6212C" w14:paraId="77878C2B" w14:textId="77777777" w:rsidTr="007268A6">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3686" w:type="dxa"/>
          </w:tcPr>
          <w:p w14:paraId="7BD8F6D5" w14:textId="5CDD9292" w:rsidR="00D6212C" w:rsidRPr="007268A6" w:rsidRDefault="00D6212C" w:rsidP="00D6212C">
            <w:pPr>
              <w:rPr>
                <w:b w:val="0"/>
                <w:bCs w:val="0"/>
                <w:i/>
                <w:iCs/>
                <w:sz w:val="20"/>
                <w:szCs w:val="20"/>
                <w:lang w:eastAsia="en-GB"/>
              </w:rPr>
            </w:pPr>
            <w:r>
              <w:rPr>
                <w:b w:val="0"/>
                <w:bCs w:val="0"/>
                <w:i/>
                <w:iCs/>
                <w:sz w:val="20"/>
                <w:szCs w:val="20"/>
                <w:lang w:eastAsia="en-GB"/>
              </w:rPr>
              <w:t>Criterio técnico (hacienda)</w:t>
            </w:r>
          </w:p>
        </w:tc>
        <w:tc>
          <w:tcPr>
            <w:tcW w:w="1559" w:type="dxa"/>
          </w:tcPr>
          <w:p w14:paraId="4D824948" w14:textId="7E931656" w:rsidR="00D6212C" w:rsidRDefault="00D6212C" w:rsidP="00D6212C">
            <w:pPr>
              <w:ind w:right="-174"/>
              <w:jc w:val="center"/>
              <w:cnfStyle w:val="000000100000" w:firstRow="0" w:lastRow="0" w:firstColumn="0" w:lastColumn="0" w:oddVBand="0" w:evenVBand="0" w:oddHBand="1" w:evenHBand="0" w:firstRowFirstColumn="0" w:firstRowLastColumn="0" w:lastRowFirstColumn="0" w:lastRowLastColumn="0"/>
              <w:rPr>
                <w:lang w:eastAsia="en-GB"/>
              </w:rPr>
            </w:pPr>
            <w:r w:rsidRPr="00A00412">
              <w:rPr>
                <w:noProof/>
                <w:lang w:eastAsia="en-GB"/>
                <w14:ligatures w14:val="standardContextual"/>
              </w:rPr>
              <w:drawing>
                <wp:inline distT="0" distB="0" distL="0" distR="0" wp14:anchorId="6BCCE184" wp14:editId="2DF483F5">
                  <wp:extent cx="184150" cy="184150"/>
                  <wp:effectExtent l="0" t="0" r="6350" b="6350"/>
                  <wp:docPr id="1780847507" name="Gráfico 7" descr="Insignia de cruz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056318" name="Gráfico 1856056318" descr="Insignia de cruz con relleno sólido"/>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flipV="1">
                            <a:off x="0" y="0"/>
                            <a:ext cx="184150" cy="184150"/>
                          </a:xfrm>
                          <a:prstGeom prst="rect">
                            <a:avLst/>
                          </a:prstGeom>
                        </pic:spPr>
                      </pic:pic>
                    </a:graphicData>
                  </a:graphic>
                </wp:inline>
              </w:drawing>
            </w:r>
          </w:p>
        </w:tc>
        <w:tc>
          <w:tcPr>
            <w:tcW w:w="1628" w:type="dxa"/>
          </w:tcPr>
          <w:p w14:paraId="1A422B65" w14:textId="4792DF84" w:rsidR="00D6212C" w:rsidRDefault="00D6212C" w:rsidP="00D6212C">
            <w:pPr>
              <w:jc w:val="center"/>
              <w:cnfStyle w:val="000000100000" w:firstRow="0" w:lastRow="0" w:firstColumn="0" w:lastColumn="0" w:oddVBand="0" w:evenVBand="0" w:oddHBand="1" w:evenHBand="0" w:firstRowFirstColumn="0" w:firstRowLastColumn="0" w:lastRowFirstColumn="0" w:lastRowLastColumn="0"/>
              <w:rPr>
                <w:lang w:eastAsia="en-GB"/>
              </w:rPr>
            </w:pPr>
            <w:r w:rsidRPr="005C23BD">
              <w:rPr>
                <w:noProof/>
                <w:lang w:eastAsia="en-GB"/>
                <w14:ligatures w14:val="standardContextual"/>
              </w:rPr>
              <w:drawing>
                <wp:inline distT="0" distB="0" distL="0" distR="0" wp14:anchorId="68959AE6" wp14:editId="4E64627D">
                  <wp:extent cx="171450" cy="171450"/>
                  <wp:effectExtent l="0" t="0" r="0" b="0"/>
                  <wp:docPr id="946661773" name="Gráfico 6" descr="Marca de insignia1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896532" name="Gráfico 2084896532" descr="Marca de insignia1 con relleno sólido"/>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171450" cy="171450"/>
                          </a:xfrm>
                          <a:prstGeom prst="rect">
                            <a:avLst/>
                          </a:prstGeom>
                        </pic:spPr>
                      </pic:pic>
                    </a:graphicData>
                  </a:graphic>
                </wp:inline>
              </w:drawing>
            </w:r>
          </w:p>
        </w:tc>
      </w:tr>
      <w:tr w:rsidR="00D6212C" w14:paraId="08732C05" w14:textId="77777777" w:rsidTr="007268A6">
        <w:trPr>
          <w:trHeight w:val="270"/>
          <w:jc w:val="center"/>
        </w:trPr>
        <w:tc>
          <w:tcPr>
            <w:cnfStyle w:val="001000000000" w:firstRow="0" w:lastRow="0" w:firstColumn="1" w:lastColumn="0" w:oddVBand="0" w:evenVBand="0" w:oddHBand="0" w:evenHBand="0" w:firstRowFirstColumn="0" w:firstRowLastColumn="0" w:lastRowFirstColumn="0" w:lastRowLastColumn="0"/>
            <w:tcW w:w="3686" w:type="dxa"/>
          </w:tcPr>
          <w:p w14:paraId="69CAF407" w14:textId="3768F8DC" w:rsidR="00D6212C" w:rsidRPr="007268A6" w:rsidRDefault="00D6212C" w:rsidP="00D6212C">
            <w:pPr>
              <w:rPr>
                <w:b w:val="0"/>
                <w:bCs w:val="0"/>
                <w:i/>
                <w:iCs/>
                <w:sz w:val="20"/>
                <w:szCs w:val="20"/>
                <w:lang w:eastAsia="en-GB"/>
              </w:rPr>
            </w:pPr>
            <w:r>
              <w:rPr>
                <w:b w:val="0"/>
                <w:bCs w:val="0"/>
                <w:i/>
                <w:iCs/>
                <w:sz w:val="20"/>
                <w:szCs w:val="20"/>
                <w:lang w:eastAsia="en-GB"/>
              </w:rPr>
              <w:t>Requisitos arancelarios</w:t>
            </w:r>
          </w:p>
        </w:tc>
        <w:tc>
          <w:tcPr>
            <w:tcW w:w="1559" w:type="dxa"/>
          </w:tcPr>
          <w:p w14:paraId="2A009C11" w14:textId="1877235A" w:rsidR="00D6212C" w:rsidRDefault="00D6212C" w:rsidP="00D6212C">
            <w:pPr>
              <w:ind w:right="-174"/>
              <w:jc w:val="center"/>
              <w:cnfStyle w:val="000000000000" w:firstRow="0" w:lastRow="0" w:firstColumn="0" w:lastColumn="0" w:oddVBand="0" w:evenVBand="0" w:oddHBand="0" w:evenHBand="0" w:firstRowFirstColumn="0" w:firstRowLastColumn="0" w:lastRowFirstColumn="0" w:lastRowLastColumn="0"/>
              <w:rPr>
                <w:lang w:eastAsia="en-GB"/>
              </w:rPr>
            </w:pPr>
            <w:r w:rsidRPr="00A00412">
              <w:rPr>
                <w:noProof/>
                <w:lang w:eastAsia="en-GB"/>
                <w14:ligatures w14:val="standardContextual"/>
              </w:rPr>
              <w:drawing>
                <wp:inline distT="0" distB="0" distL="0" distR="0" wp14:anchorId="2D93E2E7" wp14:editId="1D747C08">
                  <wp:extent cx="184150" cy="184150"/>
                  <wp:effectExtent l="0" t="0" r="6350" b="6350"/>
                  <wp:docPr id="449499189" name="Gráfico 7" descr="Insignia de cruz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056318" name="Gráfico 1856056318" descr="Insignia de cruz con relleno sólido"/>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flipV="1">
                            <a:off x="0" y="0"/>
                            <a:ext cx="184150" cy="184150"/>
                          </a:xfrm>
                          <a:prstGeom prst="rect">
                            <a:avLst/>
                          </a:prstGeom>
                        </pic:spPr>
                      </pic:pic>
                    </a:graphicData>
                  </a:graphic>
                </wp:inline>
              </w:drawing>
            </w:r>
          </w:p>
        </w:tc>
        <w:tc>
          <w:tcPr>
            <w:tcW w:w="1628" w:type="dxa"/>
          </w:tcPr>
          <w:p w14:paraId="747004C0" w14:textId="7C2335B1" w:rsidR="00D6212C" w:rsidRDefault="00D6212C" w:rsidP="00D6212C">
            <w:pPr>
              <w:jc w:val="center"/>
              <w:cnfStyle w:val="000000000000" w:firstRow="0" w:lastRow="0" w:firstColumn="0" w:lastColumn="0" w:oddVBand="0" w:evenVBand="0" w:oddHBand="0" w:evenHBand="0" w:firstRowFirstColumn="0" w:firstRowLastColumn="0" w:lastRowFirstColumn="0" w:lastRowLastColumn="0"/>
              <w:rPr>
                <w:lang w:eastAsia="en-GB"/>
              </w:rPr>
            </w:pPr>
            <w:r w:rsidRPr="005C23BD">
              <w:rPr>
                <w:noProof/>
                <w:lang w:eastAsia="en-GB"/>
                <w14:ligatures w14:val="standardContextual"/>
              </w:rPr>
              <w:drawing>
                <wp:inline distT="0" distB="0" distL="0" distR="0" wp14:anchorId="6DCFB0CC" wp14:editId="53BE78B8">
                  <wp:extent cx="171450" cy="171450"/>
                  <wp:effectExtent l="0" t="0" r="0" b="0"/>
                  <wp:docPr id="1946347315" name="Gráfico 6" descr="Marca de insignia1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896532" name="Gráfico 2084896532" descr="Marca de insignia1 con relleno sólido"/>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171450" cy="171450"/>
                          </a:xfrm>
                          <a:prstGeom prst="rect">
                            <a:avLst/>
                          </a:prstGeom>
                        </pic:spPr>
                      </pic:pic>
                    </a:graphicData>
                  </a:graphic>
                </wp:inline>
              </w:drawing>
            </w:r>
          </w:p>
        </w:tc>
      </w:tr>
      <w:tr w:rsidR="00D6212C" w14:paraId="4D567356" w14:textId="77777777" w:rsidTr="007268A6">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3686" w:type="dxa"/>
          </w:tcPr>
          <w:p w14:paraId="479FBD96" w14:textId="15C0ADEB" w:rsidR="00D6212C" w:rsidRPr="007268A6" w:rsidRDefault="00D6212C" w:rsidP="00D6212C">
            <w:pPr>
              <w:rPr>
                <w:b w:val="0"/>
                <w:bCs w:val="0"/>
                <w:i/>
                <w:iCs/>
                <w:sz w:val="20"/>
                <w:szCs w:val="20"/>
                <w:lang w:eastAsia="en-GB"/>
              </w:rPr>
            </w:pPr>
            <w:r>
              <w:rPr>
                <w:b w:val="0"/>
                <w:bCs w:val="0"/>
                <w:i/>
                <w:iCs/>
                <w:sz w:val="20"/>
                <w:szCs w:val="20"/>
                <w:lang w:eastAsia="en-GB"/>
              </w:rPr>
              <w:t>Certificación de origen</w:t>
            </w:r>
          </w:p>
        </w:tc>
        <w:tc>
          <w:tcPr>
            <w:tcW w:w="1559" w:type="dxa"/>
          </w:tcPr>
          <w:p w14:paraId="5638ED12" w14:textId="18C6F6A8" w:rsidR="00D6212C" w:rsidRDefault="00D6212C" w:rsidP="00D6212C">
            <w:pPr>
              <w:ind w:right="-174"/>
              <w:jc w:val="center"/>
              <w:cnfStyle w:val="000000100000" w:firstRow="0" w:lastRow="0" w:firstColumn="0" w:lastColumn="0" w:oddVBand="0" w:evenVBand="0" w:oddHBand="1" w:evenHBand="0" w:firstRowFirstColumn="0" w:firstRowLastColumn="0" w:lastRowFirstColumn="0" w:lastRowLastColumn="0"/>
              <w:rPr>
                <w:lang w:eastAsia="en-GB"/>
              </w:rPr>
            </w:pPr>
            <w:r w:rsidRPr="00A00412">
              <w:rPr>
                <w:noProof/>
                <w:lang w:eastAsia="en-GB"/>
                <w14:ligatures w14:val="standardContextual"/>
              </w:rPr>
              <w:drawing>
                <wp:inline distT="0" distB="0" distL="0" distR="0" wp14:anchorId="23F143E7" wp14:editId="79C6C995">
                  <wp:extent cx="184150" cy="184150"/>
                  <wp:effectExtent l="0" t="0" r="6350" b="6350"/>
                  <wp:docPr id="20782949" name="Gráfico 7" descr="Insignia de cruz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056318" name="Gráfico 1856056318" descr="Insignia de cruz con relleno sólido"/>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flipV="1">
                            <a:off x="0" y="0"/>
                            <a:ext cx="184150" cy="184150"/>
                          </a:xfrm>
                          <a:prstGeom prst="rect">
                            <a:avLst/>
                          </a:prstGeom>
                        </pic:spPr>
                      </pic:pic>
                    </a:graphicData>
                  </a:graphic>
                </wp:inline>
              </w:drawing>
            </w:r>
          </w:p>
        </w:tc>
        <w:tc>
          <w:tcPr>
            <w:tcW w:w="1628" w:type="dxa"/>
          </w:tcPr>
          <w:p w14:paraId="60EBB39D" w14:textId="4D2A195D" w:rsidR="00D6212C" w:rsidRDefault="00D6212C" w:rsidP="00D6212C">
            <w:pPr>
              <w:jc w:val="center"/>
              <w:cnfStyle w:val="000000100000" w:firstRow="0" w:lastRow="0" w:firstColumn="0" w:lastColumn="0" w:oddVBand="0" w:evenVBand="0" w:oddHBand="1" w:evenHBand="0" w:firstRowFirstColumn="0" w:firstRowLastColumn="0" w:lastRowFirstColumn="0" w:lastRowLastColumn="0"/>
              <w:rPr>
                <w:lang w:eastAsia="en-GB"/>
              </w:rPr>
            </w:pPr>
            <w:r w:rsidRPr="005C23BD">
              <w:rPr>
                <w:noProof/>
                <w:lang w:eastAsia="en-GB"/>
                <w14:ligatures w14:val="standardContextual"/>
              </w:rPr>
              <w:drawing>
                <wp:inline distT="0" distB="0" distL="0" distR="0" wp14:anchorId="631BDB8D" wp14:editId="3EC29719">
                  <wp:extent cx="171450" cy="171450"/>
                  <wp:effectExtent l="0" t="0" r="0" b="0"/>
                  <wp:docPr id="5196115" name="Gráfico 6" descr="Marca de insignia1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896532" name="Gráfico 2084896532" descr="Marca de insignia1 con relleno sólido"/>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171450" cy="171450"/>
                          </a:xfrm>
                          <a:prstGeom prst="rect">
                            <a:avLst/>
                          </a:prstGeom>
                        </pic:spPr>
                      </pic:pic>
                    </a:graphicData>
                  </a:graphic>
                </wp:inline>
              </w:drawing>
            </w:r>
          </w:p>
        </w:tc>
      </w:tr>
      <w:tr w:rsidR="00D6212C" w14:paraId="54699B91" w14:textId="77777777" w:rsidTr="007268A6">
        <w:trPr>
          <w:trHeight w:val="260"/>
          <w:jc w:val="center"/>
        </w:trPr>
        <w:tc>
          <w:tcPr>
            <w:cnfStyle w:val="001000000000" w:firstRow="0" w:lastRow="0" w:firstColumn="1" w:lastColumn="0" w:oddVBand="0" w:evenVBand="0" w:oddHBand="0" w:evenHBand="0" w:firstRowFirstColumn="0" w:firstRowLastColumn="0" w:lastRowFirstColumn="0" w:lastRowLastColumn="0"/>
            <w:tcW w:w="3686" w:type="dxa"/>
          </w:tcPr>
          <w:p w14:paraId="09B757D9" w14:textId="685CCC0E" w:rsidR="00D6212C" w:rsidRPr="007268A6" w:rsidRDefault="00D6212C" w:rsidP="00D6212C">
            <w:pPr>
              <w:rPr>
                <w:b w:val="0"/>
                <w:bCs w:val="0"/>
                <w:i/>
                <w:iCs/>
                <w:sz w:val="20"/>
                <w:szCs w:val="20"/>
                <w:lang w:eastAsia="en-GB"/>
              </w:rPr>
            </w:pPr>
            <w:r>
              <w:rPr>
                <w:b w:val="0"/>
                <w:bCs w:val="0"/>
                <w:i/>
                <w:iCs/>
                <w:sz w:val="20"/>
                <w:szCs w:val="20"/>
                <w:lang w:eastAsia="en-GB"/>
              </w:rPr>
              <w:t>Factura comercial de exportación</w:t>
            </w:r>
          </w:p>
        </w:tc>
        <w:tc>
          <w:tcPr>
            <w:tcW w:w="1559" w:type="dxa"/>
          </w:tcPr>
          <w:p w14:paraId="59B1C525" w14:textId="5A306312" w:rsidR="00D6212C" w:rsidRDefault="00D6212C" w:rsidP="00D6212C">
            <w:pPr>
              <w:ind w:right="-174"/>
              <w:jc w:val="center"/>
              <w:cnfStyle w:val="000000000000" w:firstRow="0" w:lastRow="0" w:firstColumn="0" w:lastColumn="0" w:oddVBand="0" w:evenVBand="0" w:oddHBand="0" w:evenHBand="0" w:firstRowFirstColumn="0" w:firstRowLastColumn="0" w:lastRowFirstColumn="0" w:lastRowLastColumn="0"/>
              <w:rPr>
                <w:lang w:eastAsia="en-GB"/>
              </w:rPr>
            </w:pPr>
            <w:r w:rsidRPr="00A00412">
              <w:rPr>
                <w:noProof/>
                <w:lang w:eastAsia="en-GB"/>
                <w14:ligatures w14:val="standardContextual"/>
              </w:rPr>
              <w:drawing>
                <wp:inline distT="0" distB="0" distL="0" distR="0" wp14:anchorId="0D5592D1" wp14:editId="26EE1745">
                  <wp:extent cx="184150" cy="184150"/>
                  <wp:effectExtent l="0" t="0" r="6350" b="6350"/>
                  <wp:docPr id="1423688761" name="Gráfico 7" descr="Insignia de cruz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056318" name="Gráfico 1856056318" descr="Insignia de cruz con relleno sólido"/>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flipV="1">
                            <a:off x="0" y="0"/>
                            <a:ext cx="184150" cy="184150"/>
                          </a:xfrm>
                          <a:prstGeom prst="rect">
                            <a:avLst/>
                          </a:prstGeom>
                        </pic:spPr>
                      </pic:pic>
                    </a:graphicData>
                  </a:graphic>
                </wp:inline>
              </w:drawing>
            </w:r>
          </w:p>
        </w:tc>
        <w:tc>
          <w:tcPr>
            <w:tcW w:w="1628" w:type="dxa"/>
          </w:tcPr>
          <w:p w14:paraId="13E507D1" w14:textId="4A2B82FB" w:rsidR="00D6212C" w:rsidRDefault="00D6212C" w:rsidP="00D6212C">
            <w:pPr>
              <w:jc w:val="center"/>
              <w:cnfStyle w:val="000000000000" w:firstRow="0" w:lastRow="0" w:firstColumn="0" w:lastColumn="0" w:oddVBand="0" w:evenVBand="0" w:oddHBand="0" w:evenHBand="0" w:firstRowFirstColumn="0" w:firstRowLastColumn="0" w:lastRowFirstColumn="0" w:lastRowLastColumn="0"/>
              <w:rPr>
                <w:lang w:eastAsia="en-GB"/>
              </w:rPr>
            </w:pPr>
            <w:r w:rsidRPr="005C23BD">
              <w:rPr>
                <w:noProof/>
                <w:lang w:eastAsia="en-GB"/>
                <w14:ligatures w14:val="standardContextual"/>
              </w:rPr>
              <w:drawing>
                <wp:inline distT="0" distB="0" distL="0" distR="0" wp14:anchorId="024CBC6A" wp14:editId="54E4F131">
                  <wp:extent cx="171450" cy="171450"/>
                  <wp:effectExtent l="0" t="0" r="0" b="0"/>
                  <wp:docPr id="1431096296" name="Gráfico 6" descr="Marca de insignia1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896532" name="Gráfico 2084896532" descr="Marca de insignia1 con relleno sólido"/>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171450" cy="171450"/>
                          </a:xfrm>
                          <a:prstGeom prst="rect">
                            <a:avLst/>
                          </a:prstGeom>
                        </pic:spPr>
                      </pic:pic>
                    </a:graphicData>
                  </a:graphic>
                </wp:inline>
              </w:drawing>
            </w:r>
          </w:p>
        </w:tc>
      </w:tr>
      <w:tr w:rsidR="00D6212C" w14:paraId="146A2CAE" w14:textId="77777777" w:rsidTr="007268A6">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3686" w:type="dxa"/>
          </w:tcPr>
          <w:p w14:paraId="04806FC1" w14:textId="6A2839A8" w:rsidR="00D6212C" w:rsidRPr="007268A6" w:rsidRDefault="00D6212C" w:rsidP="00D6212C">
            <w:pPr>
              <w:rPr>
                <w:b w:val="0"/>
                <w:bCs w:val="0"/>
                <w:i/>
                <w:iCs/>
                <w:sz w:val="20"/>
                <w:szCs w:val="20"/>
                <w:lang w:eastAsia="en-GB"/>
              </w:rPr>
            </w:pPr>
            <w:r>
              <w:rPr>
                <w:b w:val="0"/>
                <w:bCs w:val="0"/>
                <w:i/>
                <w:iCs/>
                <w:sz w:val="20"/>
                <w:szCs w:val="20"/>
                <w:lang w:eastAsia="en-GB"/>
              </w:rPr>
              <w:t>Declaración Única de Exportación (DUA)</w:t>
            </w:r>
          </w:p>
        </w:tc>
        <w:tc>
          <w:tcPr>
            <w:tcW w:w="1559" w:type="dxa"/>
          </w:tcPr>
          <w:p w14:paraId="4E4BEA32" w14:textId="16FF8683" w:rsidR="00D6212C" w:rsidRDefault="00D6212C" w:rsidP="00D6212C">
            <w:pPr>
              <w:ind w:right="-174"/>
              <w:jc w:val="center"/>
              <w:cnfStyle w:val="000000100000" w:firstRow="0" w:lastRow="0" w:firstColumn="0" w:lastColumn="0" w:oddVBand="0" w:evenVBand="0" w:oddHBand="1" w:evenHBand="0" w:firstRowFirstColumn="0" w:firstRowLastColumn="0" w:lastRowFirstColumn="0" w:lastRowLastColumn="0"/>
              <w:rPr>
                <w:lang w:eastAsia="en-GB"/>
              </w:rPr>
            </w:pPr>
            <w:r w:rsidRPr="00A00412">
              <w:rPr>
                <w:noProof/>
                <w:lang w:eastAsia="en-GB"/>
                <w14:ligatures w14:val="standardContextual"/>
              </w:rPr>
              <w:drawing>
                <wp:inline distT="0" distB="0" distL="0" distR="0" wp14:anchorId="63D81E43" wp14:editId="750DE5E6">
                  <wp:extent cx="184150" cy="184150"/>
                  <wp:effectExtent l="0" t="0" r="6350" b="6350"/>
                  <wp:docPr id="2013177405" name="Gráfico 7" descr="Insignia de cruz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056318" name="Gráfico 1856056318" descr="Insignia de cruz con relleno sólido"/>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flipV="1">
                            <a:off x="0" y="0"/>
                            <a:ext cx="184150" cy="184150"/>
                          </a:xfrm>
                          <a:prstGeom prst="rect">
                            <a:avLst/>
                          </a:prstGeom>
                        </pic:spPr>
                      </pic:pic>
                    </a:graphicData>
                  </a:graphic>
                </wp:inline>
              </w:drawing>
            </w:r>
          </w:p>
        </w:tc>
        <w:tc>
          <w:tcPr>
            <w:tcW w:w="1628" w:type="dxa"/>
          </w:tcPr>
          <w:p w14:paraId="51646B03" w14:textId="6E05D7F7" w:rsidR="00D6212C" w:rsidRDefault="00D6212C" w:rsidP="00D6212C">
            <w:pPr>
              <w:jc w:val="center"/>
              <w:cnfStyle w:val="000000100000" w:firstRow="0" w:lastRow="0" w:firstColumn="0" w:lastColumn="0" w:oddVBand="0" w:evenVBand="0" w:oddHBand="1" w:evenHBand="0" w:firstRowFirstColumn="0" w:firstRowLastColumn="0" w:lastRowFirstColumn="0" w:lastRowLastColumn="0"/>
              <w:rPr>
                <w:lang w:eastAsia="en-GB"/>
              </w:rPr>
            </w:pPr>
            <w:r w:rsidRPr="005C23BD">
              <w:rPr>
                <w:noProof/>
                <w:lang w:eastAsia="en-GB"/>
                <w14:ligatures w14:val="standardContextual"/>
              </w:rPr>
              <w:drawing>
                <wp:inline distT="0" distB="0" distL="0" distR="0" wp14:anchorId="713B168A" wp14:editId="02DC970F">
                  <wp:extent cx="171450" cy="171450"/>
                  <wp:effectExtent l="0" t="0" r="0" b="0"/>
                  <wp:docPr id="956700827" name="Gráfico 6" descr="Marca de insignia1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896532" name="Gráfico 2084896532" descr="Marca de insignia1 con relleno sólido"/>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171450" cy="171450"/>
                          </a:xfrm>
                          <a:prstGeom prst="rect">
                            <a:avLst/>
                          </a:prstGeom>
                        </pic:spPr>
                      </pic:pic>
                    </a:graphicData>
                  </a:graphic>
                </wp:inline>
              </w:drawing>
            </w:r>
          </w:p>
        </w:tc>
      </w:tr>
      <w:tr w:rsidR="00D6212C" w14:paraId="7408F6F8" w14:textId="77777777" w:rsidTr="007268A6">
        <w:trPr>
          <w:trHeight w:val="270"/>
          <w:jc w:val="center"/>
        </w:trPr>
        <w:tc>
          <w:tcPr>
            <w:cnfStyle w:val="001000000000" w:firstRow="0" w:lastRow="0" w:firstColumn="1" w:lastColumn="0" w:oddVBand="0" w:evenVBand="0" w:oddHBand="0" w:evenHBand="0" w:firstRowFirstColumn="0" w:firstRowLastColumn="0" w:lastRowFirstColumn="0" w:lastRowLastColumn="0"/>
            <w:tcW w:w="3686" w:type="dxa"/>
          </w:tcPr>
          <w:p w14:paraId="71FF3435" w14:textId="7B12FE04" w:rsidR="00D6212C" w:rsidRPr="007268A6" w:rsidRDefault="00D6212C" w:rsidP="00D6212C">
            <w:pPr>
              <w:rPr>
                <w:b w:val="0"/>
                <w:bCs w:val="0"/>
                <w:i/>
                <w:iCs/>
                <w:sz w:val="20"/>
                <w:szCs w:val="20"/>
                <w:lang w:eastAsia="en-GB"/>
              </w:rPr>
            </w:pPr>
            <w:r>
              <w:rPr>
                <w:b w:val="0"/>
                <w:bCs w:val="0"/>
                <w:i/>
                <w:iCs/>
                <w:sz w:val="20"/>
                <w:szCs w:val="20"/>
                <w:lang w:eastAsia="en-GB"/>
              </w:rPr>
              <w:t>Documento de transporte</w:t>
            </w:r>
          </w:p>
        </w:tc>
        <w:tc>
          <w:tcPr>
            <w:tcW w:w="1559" w:type="dxa"/>
          </w:tcPr>
          <w:p w14:paraId="6682BF47" w14:textId="3139A889" w:rsidR="00D6212C" w:rsidRDefault="00D6212C" w:rsidP="00D6212C">
            <w:pPr>
              <w:ind w:right="-174"/>
              <w:jc w:val="center"/>
              <w:cnfStyle w:val="000000000000" w:firstRow="0" w:lastRow="0" w:firstColumn="0" w:lastColumn="0" w:oddVBand="0" w:evenVBand="0" w:oddHBand="0" w:evenHBand="0" w:firstRowFirstColumn="0" w:firstRowLastColumn="0" w:lastRowFirstColumn="0" w:lastRowLastColumn="0"/>
              <w:rPr>
                <w:lang w:eastAsia="en-GB"/>
              </w:rPr>
            </w:pPr>
            <w:r w:rsidRPr="00A00412">
              <w:rPr>
                <w:noProof/>
                <w:lang w:eastAsia="en-GB"/>
                <w14:ligatures w14:val="standardContextual"/>
              </w:rPr>
              <w:drawing>
                <wp:inline distT="0" distB="0" distL="0" distR="0" wp14:anchorId="0C034C8A" wp14:editId="759C0985">
                  <wp:extent cx="184150" cy="184150"/>
                  <wp:effectExtent l="0" t="0" r="6350" b="6350"/>
                  <wp:docPr id="1402610274" name="Gráfico 7" descr="Insignia de cruz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056318" name="Gráfico 1856056318" descr="Insignia de cruz con relleno sólido"/>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flipV="1">
                            <a:off x="0" y="0"/>
                            <a:ext cx="184150" cy="184150"/>
                          </a:xfrm>
                          <a:prstGeom prst="rect">
                            <a:avLst/>
                          </a:prstGeom>
                        </pic:spPr>
                      </pic:pic>
                    </a:graphicData>
                  </a:graphic>
                </wp:inline>
              </w:drawing>
            </w:r>
          </w:p>
        </w:tc>
        <w:tc>
          <w:tcPr>
            <w:tcW w:w="1628" w:type="dxa"/>
          </w:tcPr>
          <w:p w14:paraId="40F0E188" w14:textId="639BD5B7" w:rsidR="00D6212C" w:rsidRDefault="00D6212C" w:rsidP="00D6212C">
            <w:pPr>
              <w:jc w:val="center"/>
              <w:cnfStyle w:val="000000000000" w:firstRow="0" w:lastRow="0" w:firstColumn="0" w:lastColumn="0" w:oddVBand="0" w:evenVBand="0" w:oddHBand="0" w:evenHBand="0" w:firstRowFirstColumn="0" w:firstRowLastColumn="0" w:lastRowFirstColumn="0" w:lastRowLastColumn="0"/>
              <w:rPr>
                <w:lang w:eastAsia="en-GB"/>
              </w:rPr>
            </w:pPr>
            <w:r w:rsidRPr="005C23BD">
              <w:rPr>
                <w:noProof/>
                <w:lang w:eastAsia="en-GB"/>
                <w14:ligatures w14:val="standardContextual"/>
              </w:rPr>
              <w:drawing>
                <wp:inline distT="0" distB="0" distL="0" distR="0" wp14:anchorId="6C62C152" wp14:editId="239F5097">
                  <wp:extent cx="171450" cy="171450"/>
                  <wp:effectExtent l="0" t="0" r="0" b="0"/>
                  <wp:docPr id="707675614" name="Gráfico 6" descr="Marca de insignia1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896532" name="Gráfico 2084896532" descr="Marca de insignia1 con relleno sólido"/>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171450" cy="171450"/>
                          </a:xfrm>
                          <a:prstGeom prst="rect">
                            <a:avLst/>
                          </a:prstGeom>
                        </pic:spPr>
                      </pic:pic>
                    </a:graphicData>
                  </a:graphic>
                </wp:inline>
              </w:drawing>
            </w:r>
          </w:p>
        </w:tc>
      </w:tr>
    </w:tbl>
    <w:p w14:paraId="51A310E0" w14:textId="5183D6FA" w:rsidR="007268A6" w:rsidRPr="00D6212C" w:rsidRDefault="00D6212C" w:rsidP="007268A6">
      <w:pPr>
        <w:rPr>
          <w:sz w:val="18"/>
          <w:szCs w:val="18"/>
          <w:lang w:eastAsia="en-GB"/>
        </w:rPr>
      </w:pPr>
      <w:r w:rsidRPr="00D6212C">
        <w:rPr>
          <w:sz w:val="18"/>
          <w:szCs w:val="18"/>
          <w:lang w:eastAsia="en-GB"/>
        </w:rPr>
        <w:t>Fuente: Práctica profesional supervisada, Montero, 2023.</w:t>
      </w:r>
    </w:p>
    <w:p w14:paraId="546D4912" w14:textId="22A7CEB9" w:rsidR="007268A6" w:rsidRDefault="007268A6" w:rsidP="007268A6">
      <w:pPr>
        <w:jc w:val="both"/>
      </w:pPr>
    </w:p>
    <w:p w14:paraId="3A0CE708" w14:textId="77777777" w:rsidR="00FB741F" w:rsidRDefault="00FB741F" w:rsidP="00FB741F">
      <w:pPr>
        <w:jc w:val="both"/>
      </w:pPr>
    </w:p>
    <w:p w14:paraId="7A65C5F0" w14:textId="77777777" w:rsidR="00D6212C" w:rsidRDefault="00D6212C" w:rsidP="00FB741F">
      <w:pPr>
        <w:jc w:val="both"/>
      </w:pPr>
    </w:p>
    <w:p w14:paraId="76670767" w14:textId="77777777" w:rsidR="00D6212C" w:rsidRDefault="00D6212C" w:rsidP="00FB741F">
      <w:pPr>
        <w:jc w:val="both"/>
      </w:pPr>
    </w:p>
    <w:p w14:paraId="6A817445" w14:textId="77777777" w:rsidR="00D6212C" w:rsidRDefault="00D6212C" w:rsidP="00FB741F">
      <w:pPr>
        <w:jc w:val="both"/>
      </w:pPr>
    </w:p>
    <w:p w14:paraId="788C0EFF" w14:textId="15B9F6C9" w:rsidR="000B4EFE" w:rsidRDefault="000B4EFE" w:rsidP="000B4EFE">
      <w:pPr>
        <w:pStyle w:val="Ttulo2"/>
        <w:jc w:val="both"/>
      </w:pPr>
      <w:bookmarkStart w:id="25" w:name="_Toc159442594"/>
      <w:r>
        <w:lastRenderedPageBreak/>
        <w:t>3.3 A</w:t>
      </w:r>
      <w:r w:rsidR="00621777">
        <w:t>spectos relevantes</w:t>
      </w:r>
      <w:r>
        <w:t xml:space="preserve"> de las estrategias nacionales de bioeconomía, economía circular y p</w:t>
      </w:r>
      <w:r w:rsidR="00621777">
        <w:t>rograma</w:t>
      </w:r>
      <w:r>
        <w:t xml:space="preserve"> nacional de clúster</w:t>
      </w:r>
      <w:bookmarkEnd w:id="25"/>
    </w:p>
    <w:p w14:paraId="6657BB29" w14:textId="77777777" w:rsidR="000B4EFE" w:rsidRDefault="000B4EFE" w:rsidP="00FB741F">
      <w:pPr>
        <w:jc w:val="both"/>
      </w:pPr>
    </w:p>
    <w:p w14:paraId="4D8083B9" w14:textId="53456391" w:rsidR="000B4EFE" w:rsidRDefault="00C52A4B" w:rsidP="00FB741F">
      <w:pPr>
        <w:jc w:val="both"/>
      </w:pPr>
      <w:r>
        <w:t>De acuerdo con la base de las estrategias analizadas el sector forestal y sus actividades económicas constituyen modelos empresariales de la economía circular, ofreciendo opciones para distribuir el riesgo por medio de las cadenas de suministro, aumentando su flexibilidad y resistencia a los riesgos climáticos. Los principales criterios en los cuales el sector aporta directamente se enumeran a continuación</w:t>
      </w:r>
      <w:r w:rsidR="00FF1AEA">
        <w:t xml:space="preserve"> (figura 5)</w:t>
      </w:r>
      <w:r>
        <w:t>:</w:t>
      </w:r>
    </w:p>
    <w:p w14:paraId="3CF1A30F" w14:textId="56D8EE00" w:rsidR="00FF1AEA" w:rsidRPr="00FF1AEA" w:rsidRDefault="00FF1AEA" w:rsidP="00FF1AEA">
      <w:pPr>
        <w:pStyle w:val="Descripcin"/>
        <w:rPr>
          <w:color w:val="auto"/>
          <w:sz w:val="22"/>
          <w:szCs w:val="22"/>
        </w:rPr>
      </w:pPr>
      <w:r w:rsidRPr="00FF1AEA">
        <w:rPr>
          <w:color w:val="auto"/>
          <w:sz w:val="22"/>
          <w:szCs w:val="22"/>
        </w:rPr>
        <w:t xml:space="preserve">Figura </w:t>
      </w:r>
      <w:r w:rsidRPr="00FF1AEA">
        <w:rPr>
          <w:color w:val="auto"/>
          <w:sz w:val="22"/>
          <w:szCs w:val="22"/>
        </w:rPr>
        <w:fldChar w:fldCharType="begin"/>
      </w:r>
      <w:r w:rsidRPr="00FF1AEA">
        <w:rPr>
          <w:color w:val="auto"/>
          <w:sz w:val="22"/>
          <w:szCs w:val="22"/>
        </w:rPr>
        <w:instrText xml:space="preserve"> SEQ Figura \* ARABIC </w:instrText>
      </w:r>
      <w:r w:rsidRPr="00FF1AEA">
        <w:rPr>
          <w:color w:val="auto"/>
          <w:sz w:val="22"/>
          <w:szCs w:val="22"/>
        </w:rPr>
        <w:fldChar w:fldCharType="separate"/>
      </w:r>
      <w:r w:rsidR="00CB0DAA">
        <w:rPr>
          <w:noProof/>
          <w:color w:val="auto"/>
          <w:sz w:val="22"/>
          <w:szCs w:val="22"/>
        </w:rPr>
        <w:t>5</w:t>
      </w:r>
      <w:r w:rsidRPr="00FF1AEA">
        <w:rPr>
          <w:color w:val="auto"/>
          <w:sz w:val="22"/>
          <w:szCs w:val="22"/>
        </w:rPr>
        <w:fldChar w:fldCharType="end"/>
      </w:r>
      <w:r w:rsidRPr="00FF1AEA">
        <w:rPr>
          <w:color w:val="auto"/>
          <w:sz w:val="22"/>
          <w:szCs w:val="22"/>
        </w:rPr>
        <w:t>. Criterios de bioeconomía y economía circular aplicables a las actividades y productos forestales.</w:t>
      </w:r>
    </w:p>
    <w:p w14:paraId="74A4A630" w14:textId="6DBDF1F2" w:rsidR="00C52A4B" w:rsidRDefault="00C52A4B" w:rsidP="00FB741F">
      <w:pPr>
        <w:jc w:val="both"/>
      </w:pPr>
      <w:r>
        <w:rPr>
          <w:noProof/>
          <w14:ligatures w14:val="standardContextual"/>
        </w:rPr>
        <w:drawing>
          <wp:inline distT="0" distB="0" distL="0" distR="0" wp14:anchorId="2AF7D2EB" wp14:editId="65F197EA">
            <wp:extent cx="5486400" cy="3200400"/>
            <wp:effectExtent l="0" t="0" r="0" b="0"/>
            <wp:docPr id="1634796560" name="Diagrama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14:paraId="06CCC656" w14:textId="77777777" w:rsidR="00FF1AEA" w:rsidRPr="00D6212C" w:rsidRDefault="00FF1AEA" w:rsidP="00FF1AEA">
      <w:pPr>
        <w:rPr>
          <w:sz w:val="18"/>
          <w:szCs w:val="18"/>
          <w:lang w:eastAsia="en-GB"/>
        </w:rPr>
      </w:pPr>
      <w:r w:rsidRPr="00D6212C">
        <w:rPr>
          <w:sz w:val="18"/>
          <w:szCs w:val="18"/>
          <w:lang w:eastAsia="en-GB"/>
        </w:rPr>
        <w:t>Fuente: Práctica profesional supervisada, Montero, 2023.</w:t>
      </w:r>
    </w:p>
    <w:p w14:paraId="3C6A9BB2" w14:textId="34C7106B" w:rsidR="002B1105" w:rsidRDefault="00B869D1" w:rsidP="00B869D1">
      <w:pPr>
        <w:jc w:val="both"/>
      </w:pPr>
      <w:r>
        <w:t>Adicionalmente el sector silvicultura y otros usos de la tierra es el único sector priorizado que genera un impacto positivo en la dinámica de Gases Efecto Invernadero (GEI)</w:t>
      </w:r>
      <w:r w:rsidR="00B74ABF">
        <w:t xml:space="preserve"> por tanto las políticas nacionales han dado un giro en la priorización de mecanismos para el financiamiento de este tipo de negocios</w:t>
      </w:r>
      <w:r>
        <w:t>.</w:t>
      </w:r>
    </w:p>
    <w:p w14:paraId="14CC679D" w14:textId="398BA0C4" w:rsidR="00B74ABF" w:rsidRDefault="00B74ABF" w:rsidP="00B869D1">
      <w:pPr>
        <w:jc w:val="both"/>
      </w:pPr>
      <w:r>
        <w:t>Los mecanismos de mayor relevancia para el sector en la actualidad son el financiamiento a la economía circular que prioriza la generación de capacidades en el territorio, innovación, compensación de impactos, reconversión tecnológica, fortalecimiento de PYMES, emprendimiento verde, infraestructura y cadenas productivas resilientes. Cada uno de estos aspectos coincide con las propuestas desarrolladas en el análisis de la gobernanza, la propuesta de plan de capacitación y el desarrollo de productos con madera de bosques secundarios manejados de manera sostenible, desarrollados en los productos 1, 2 y 3 de este proyecto.</w:t>
      </w:r>
    </w:p>
    <w:p w14:paraId="6096386F" w14:textId="51DE85AC" w:rsidR="00B74ABF" w:rsidRDefault="00B74ABF" w:rsidP="00B869D1">
      <w:pPr>
        <w:jc w:val="both"/>
      </w:pPr>
      <w:r>
        <w:lastRenderedPageBreak/>
        <w:t>Asimismo, el mecanismo de modelo de innovación circular territorial resulta fundamental para la aplicabilidad de las hojas de ruta en el área de influencia y la escalabilidad a otros núcleos forestales en los cuales se pueda desarrollar el manejo integral del paisaje. Algunos de los aspectos destacados de este modelo son innovación en áreas estratégicas, investigación, desarrollo e innovación en sectores productivos, nuevas industrias y nuevos negocios, polos regionales de innovación y mercados sostenibles.</w:t>
      </w:r>
    </w:p>
    <w:p w14:paraId="3A23002A" w14:textId="10DF893B" w:rsidR="00621777" w:rsidRDefault="00B74ABF" w:rsidP="00621777">
      <w:pPr>
        <w:jc w:val="both"/>
      </w:pPr>
      <w:r>
        <w:t xml:space="preserve">Si bien estas estrategias tienen un horizonte de planificación el 2030, existe </w:t>
      </w:r>
      <w:r w:rsidR="00621777">
        <w:t>el Programa Nacional de Clústeres (PNC) que es un programa interinstitucional liderado por el Ministerio de Trabajo y Seguridad Social (MTSS) y el MEIC, que busca promover la consolidación de iniciativas clústeres como mecanismo para generar redes de colaboración entre actores del sector empresarial, las instituciones públicas, académicas y otros tipos de actores vinculados a las principales actividades de la economía costarricense, mediante una lógica de transformación productiva con enfoque territorial.</w:t>
      </w:r>
    </w:p>
    <w:p w14:paraId="30E1E8D5" w14:textId="4024BE31" w:rsidR="00B869D1" w:rsidRDefault="00621777" w:rsidP="00621777">
      <w:pPr>
        <w:jc w:val="both"/>
      </w:pPr>
      <w:r>
        <w:t>De acuerdo con los lineamientos de esta política en el enfoque de clúster, todo tipo de empresas, se unen para desarrollar estrategias de negocio colectivas, al mismo tiempo que las instituciones públicas, académicas, financieras y otros tipos de actores que también participan, alinean sus recursos, programas y capacidades para mejorar la productividad, la competitividad, el talento humano, la investigación e innovación, los encadenamientos y el resto de condiciones necesarias que permitan además: generar más y mejores empleos a nivel nacional y territorial.</w:t>
      </w:r>
    </w:p>
    <w:p w14:paraId="08B473E3" w14:textId="7A7F2843" w:rsidR="00621777" w:rsidRDefault="00621777" w:rsidP="00621777">
      <w:pPr>
        <w:jc w:val="both"/>
      </w:pPr>
      <w:r>
        <w:t xml:space="preserve">En el país ya se han desarrollado iniciativas clúster en zonas relevantes de la dinámica económica, para el caso particular de la región huetar norte resalta el clúster forestal, el cual se encuentre en etapa de desarrollo de clúster para la actualidad (figura 6). </w:t>
      </w:r>
    </w:p>
    <w:p w14:paraId="3F04C3F8" w14:textId="0B18DBED" w:rsidR="00621777" w:rsidRPr="00621777" w:rsidRDefault="00621777" w:rsidP="00621777">
      <w:pPr>
        <w:pStyle w:val="Descripcin"/>
        <w:rPr>
          <w:color w:val="auto"/>
          <w:sz w:val="22"/>
          <w:szCs w:val="22"/>
        </w:rPr>
      </w:pPr>
      <w:r w:rsidRPr="00621777">
        <w:rPr>
          <w:color w:val="auto"/>
          <w:sz w:val="22"/>
          <w:szCs w:val="22"/>
        </w:rPr>
        <w:t xml:space="preserve">Figura </w:t>
      </w:r>
      <w:r w:rsidRPr="00621777">
        <w:rPr>
          <w:color w:val="auto"/>
          <w:sz w:val="22"/>
          <w:szCs w:val="22"/>
        </w:rPr>
        <w:fldChar w:fldCharType="begin"/>
      </w:r>
      <w:r w:rsidRPr="00621777">
        <w:rPr>
          <w:color w:val="auto"/>
          <w:sz w:val="22"/>
          <w:szCs w:val="22"/>
        </w:rPr>
        <w:instrText xml:space="preserve"> SEQ Figura \* ARABIC </w:instrText>
      </w:r>
      <w:r w:rsidRPr="00621777">
        <w:rPr>
          <w:color w:val="auto"/>
          <w:sz w:val="22"/>
          <w:szCs w:val="22"/>
        </w:rPr>
        <w:fldChar w:fldCharType="separate"/>
      </w:r>
      <w:r w:rsidR="00CB0DAA">
        <w:rPr>
          <w:noProof/>
          <w:color w:val="auto"/>
          <w:sz w:val="22"/>
          <w:szCs w:val="22"/>
        </w:rPr>
        <w:t>6</w:t>
      </w:r>
      <w:r w:rsidRPr="00621777">
        <w:rPr>
          <w:color w:val="auto"/>
          <w:sz w:val="22"/>
          <w:szCs w:val="22"/>
        </w:rPr>
        <w:fldChar w:fldCharType="end"/>
      </w:r>
      <w:r w:rsidRPr="00621777">
        <w:rPr>
          <w:color w:val="auto"/>
          <w:sz w:val="22"/>
          <w:szCs w:val="22"/>
        </w:rPr>
        <w:t>. Iniciativas clúster en el territorio costarricense, 2021.</w:t>
      </w:r>
    </w:p>
    <w:p w14:paraId="3213C6E7" w14:textId="1B5EB943" w:rsidR="00621777" w:rsidRDefault="00621777" w:rsidP="00621777">
      <w:pPr>
        <w:jc w:val="center"/>
      </w:pPr>
      <w:r>
        <w:rPr>
          <w:noProof/>
        </w:rPr>
        <w:drawing>
          <wp:inline distT="0" distB="0" distL="0" distR="0" wp14:anchorId="118512F1" wp14:editId="353CDD00">
            <wp:extent cx="5232400" cy="3286383"/>
            <wp:effectExtent l="0" t="0" r="6350" b="9525"/>
            <wp:docPr id="2005267803" name="Imagen 9"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267803" name="Imagen 9" descr="Diagrama&#10;&#10;Descripción generada automáticamente con confianza media"/>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49746" cy="3297278"/>
                    </a:xfrm>
                    <a:prstGeom prst="rect">
                      <a:avLst/>
                    </a:prstGeom>
                    <a:noFill/>
                    <a:ln>
                      <a:noFill/>
                    </a:ln>
                  </pic:spPr>
                </pic:pic>
              </a:graphicData>
            </a:graphic>
          </wp:inline>
        </w:drawing>
      </w:r>
    </w:p>
    <w:p w14:paraId="7D075065" w14:textId="726FFB27" w:rsidR="00621777" w:rsidRPr="00621777" w:rsidRDefault="00621777" w:rsidP="00621777">
      <w:pPr>
        <w:jc w:val="both"/>
        <w:rPr>
          <w:sz w:val="18"/>
          <w:szCs w:val="18"/>
        </w:rPr>
      </w:pPr>
      <w:r w:rsidRPr="00621777">
        <w:rPr>
          <w:sz w:val="18"/>
          <w:szCs w:val="18"/>
        </w:rPr>
        <w:t>Fuente: MTSS, 2021.</w:t>
      </w:r>
    </w:p>
    <w:p w14:paraId="1FA7E5DB" w14:textId="6434DBCD" w:rsidR="002B1105" w:rsidRDefault="00F67F58" w:rsidP="00BF70E7">
      <w:pPr>
        <w:pStyle w:val="Ttulo1"/>
        <w:numPr>
          <w:ilvl w:val="0"/>
          <w:numId w:val="5"/>
        </w:numPr>
        <w:rPr>
          <w:rFonts w:eastAsia="Calibri"/>
        </w:rPr>
      </w:pPr>
      <w:bookmarkStart w:id="26" w:name="_Toc159442595"/>
      <w:r w:rsidRPr="00F67F58">
        <w:rPr>
          <w:rFonts w:eastAsia="Calibri"/>
        </w:rPr>
        <w:lastRenderedPageBreak/>
        <w:t>Análisis e interpretación de datos y resultados</w:t>
      </w:r>
      <w:bookmarkEnd w:id="26"/>
    </w:p>
    <w:p w14:paraId="67887A5B" w14:textId="77777777" w:rsidR="00756C75" w:rsidRPr="00756C75" w:rsidRDefault="00756C75" w:rsidP="00756C75"/>
    <w:p w14:paraId="5CAB8EC0" w14:textId="1ED3CFA0" w:rsidR="00621777" w:rsidRPr="00621777" w:rsidRDefault="00621777" w:rsidP="00621777">
      <w:pPr>
        <w:pStyle w:val="Ttulo2"/>
      </w:pPr>
      <w:bookmarkStart w:id="27" w:name="_Toc159442596"/>
      <w:r w:rsidRPr="00621777">
        <w:t>4.1 Oportunidades de mercado para l</w:t>
      </w:r>
      <w:r>
        <w:t>os productos de madera de bosque secundario</w:t>
      </w:r>
      <w:bookmarkEnd w:id="27"/>
    </w:p>
    <w:p w14:paraId="779D9AA0" w14:textId="77777777" w:rsidR="00756C75" w:rsidRDefault="00756C75" w:rsidP="000B4EFE"/>
    <w:p w14:paraId="486DF65B" w14:textId="4FC14082" w:rsidR="000B4EFE" w:rsidRDefault="00756C75" w:rsidP="003856C4">
      <w:pPr>
        <w:jc w:val="both"/>
      </w:pPr>
      <w:r>
        <w:t>Con base en los r</w:t>
      </w:r>
      <w:r w:rsidR="000B4EFE">
        <w:t>esultados de la prospección de mercado de los productos de madera de bosque secundario las estrategias nacionales</w:t>
      </w:r>
      <w:r w:rsidR="003856C4">
        <w:t xml:space="preserve"> generan oportunidades para la colocación de bienes maderables, principalmente bajo un enfoque de sostenibilidad que permita que la marca país se refleje en la historia social, económica y ambiental de los productos</w:t>
      </w:r>
      <w:r w:rsidR="000B4EFE">
        <w:t xml:space="preserve">. </w:t>
      </w:r>
      <w:r w:rsidR="003856C4">
        <w:t xml:space="preserve">Para que estas oportunidades sean sostenibles en el tiempo y generen beneficios se requiere de actores clave que lideren la vinculación sectorial. </w:t>
      </w:r>
    </w:p>
    <w:p w14:paraId="4D8CDD2A" w14:textId="15A2F6DD" w:rsidR="003856C4" w:rsidRDefault="003856C4" w:rsidP="003856C4">
      <w:pPr>
        <w:jc w:val="both"/>
      </w:pPr>
      <w:r>
        <w:t xml:space="preserve">De acuerdo con los resultados de las sesiones de análisis con el MEIC y PROCOMER es fundamental que el sector </w:t>
      </w:r>
      <w:r w:rsidR="000D3CE6">
        <w:t xml:space="preserve">público </w:t>
      </w:r>
      <w:r>
        <w:t xml:space="preserve">acompañe y asesore a las nuevas empresas o negocios para que logren un mejor acceso a los mercados y con ello una mayor supervivencia en el ecosistema empresarial. Es relevante considerar que las tendencias de mercado cambian de manera acelerada y el sector debe migrar hacia la innovación, tecnología y reconversión industrial. </w:t>
      </w:r>
    </w:p>
    <w:p w14:paraId="0CB9EC1A" w14:textId="65C85147" w:rsidR="003856C4" w:rsidRDefault="003856C4" w:rsidP="003856C4">
      <w:pPr>
        <w:jc w:val="both"/>
      </w:pPr>
      <w:r>
        <w:t xml:space="preserve">Una de las premisas fundamentales de análisis se basa en la recomendación de segmentación de acceso a los mercados. En cualquier escala comercial es fundamental lograr que se consoliden las empresas y que sus productos cuenten con validación desde el punto de vista de la demanda, para el caso particular del sector forestal costarricense la ausencia o disminución de algunos eslabones reflejan que no existe la cadena de valor, </w:t>
      </w:r>
      <w:r w:rsidR="009B5008">
        <w:t>sino</w:t>
      </w:r>
      <w:r>
        <w:t xml:space="preserve"> más bien algunas cadenas de producción específicas, tal es el caso de la fabricación de tarimas, la mueblería, materiales para construcción y la exportación con poco valor agregado. </w:t>
      </w:r>
    </w:p>
    <w:p w14:paraId="47EC57E5" w14:textId="77777777" w:rsidR="00362227" w:rsidRDefault="007978B8" w:rsidP="003856C4">
      <w:pPr>
        <w:jc w:val="both"/>
      </w:pPr>
      <w:r>
        <w:t xml:space="preserve">Conocer el mercado local y reconocer que las tendencias de mercado y consumo son globalizadas y no diferenciadas de los mercados internacionales permite que se valide realmente si un producto esta listo para la exportación, y aún más importante si la empresa cuenta con la capacidad productiva para sostener la oferta en un mercado internacional. Según el análisis del MEIC y PROCOMER por aspectos de distribución y logística el mercado local debe ser prioritario para el sector, esto partiendo de la formalización de los negocios, la segmentación de mercado (poder adquisitivo, regímenes especiales y sectores complementarios como el turismo) que permiten determinar si </w:t>
      </w:r>
      <w:r w:rsidR="00362227">
        <w:t>el diseño, tamaño, empaquetado, punto de distribución, es validado por el consumidor.</w:t>
      </w:r>
    </w:p>
    <w:p w14:paraId="049AF9D6" w14:textId="28EC266A" w:rsidR="003856C4" w:rsidRDefault="00362227" w:rsidP="003856C4">
      <w:pPr>
        <w:jc w:val="both"/>
      </w:pPr>
      <w:r>
        <w:t>Adicionalmente, adaptar la oferta para el Mercado Común Centroamericano (MCC) puede considerarse una segunda etapa en la cual las empresas aún tienen control y más alternativas de transporte. Esto tomando en consideración las limitaciones actuales del transporte marítimo y el alto costo del transporte aéreo, que si no se dan una negociación adecuada puede perjudicar al fabricante o comercializador local. En este punto es relevante mencionar que el MCC es uno de los principales socios comerciales en la exportación de productos maderables de Costa Rica.</w:t>
      </w:r>
    </w:p>
    <w:p w14:paraId="55A1F0EF" w14:textId="352BB647" w:rsidR="00362227" w:rsidRDefault="00362227" w:rsidP="003856C4">
      <w:pPr>
        <w:jc w:val="both"/>
      </w:pPr>
      <w:r>
        <w:t xml:space="preserve">En general la dinámica comercial también debe considerar las ventajas de los Tratados de Libre Comercio (TLC) lo cual le brinda algunos beneficios de acceso a la cartera comercial, ya sea en los </w:t>
      </w:r>
      <w:r>
        <w:lastRenderedPageBreak/>
        <w:t>acuerdos bilaterales, como el TLC con Estados Unidos o en acuerdos multilaterales como los de la Unión Europea.</w:t>
      </w:r>
    </w:p>
    <w:p w14:paraId="41C28F06" w14:textId="0AD4C898" w:rsidR="000B4EFE" w:rsidRDefault="00362227" w:rsidP="003856C4">
      <w:pPr>
        <w:jc w:val="both"/>
      </w:pPr>
      <w:r>
        <w:t>Vinculado a estos acuerdos internacionales, las tendencias de consumo y la</w:t>
      </w:r>
      <w:r w:rsidR="000B4EFE">
        <w:t xml:space="preserve"> conciencia creciente de los consumidores sobre la sostenibilidad va en aumento, por lo que las buenas prácticas tendientes a la mitigación del cambio climático son importantes al momento de adquirir un producto, </w:t>
      </w:r>
      <w:r>
        <w:t xml:space="preserve">lo cual resulta imperativo </w:t>
      </w:r>
      <w:r w:rsidR="000B4EFE">
        <w:t xml:space="preserve">en </w:t>
      </w:r>
      <w:r>
        <w:t>el caso de productos fabricados con</w:t>
      </w:r>
      <w:r w:rsidR="000B4EFE">
        <w:t xml:space="preserve"> madera. Así la sostenibilidad, innovación y tecnología, unidos a calidad con historia social se incorporan como elementos clave en la industria de la madera, que generan diferenciación y ventajas competitivas.</w:t>
      </w:r>
    </w:p>
    <w:p w14:paraId="0CA06FAD" w14:textId="247F62F2" w:rsidR="00362227" w:rsidRDefault="00362227" w:rsidP="003856C4">
      <w:pPr>
        <w:jc w:val="both"/>
      </w:pPr>
      <w:r>
        <w:t>Algunas ventajas competitivas de los productos de madera</w:t>
      </w:r>
      <w:r w:rsidR="00825EB3">
        <w:t xml:space="preserve"> innovadores</w:t>
      </w:r>
      <w:r>
        <w:t xml:space="preserve"> son:</w:t>
      </w:r>
    </w:p>
    <w:p w14:paraId="25EAF900" w14:textId="54D02C90" w:rsidR="00FF1AEA" w:rsidRDefault="00362227" w:rsidP="00362227">
      <w:pPr>
        <w:pStyle w:val="Prrafodelista"/>
        <w:numPr>
          <w:ilvl w:val="0"/>
          <w:numId w:val="11"/>
        </w:numPr>
        <w:jc w:val="both"/>
      </w:pPr>
      <w:r>
        <w:t>H</w:t>
      </w:r>
      <w:r w:rsidR="00FF1AEA">
        <w:t>uella de carbono</w:t>
      </w:r>
      <w:r>
        <w:t xml:space="preserve"> cero</w:t>
      </w:r>
      <w:r w:rsidR="00825EB3">
        <w:t>.</w:t>
      </w:r>
    </w:p>
    <w:p w14:paraId="425F3883" w14:textId="514A7E3B" w:rsidR="00FF1AEA" w:rsidRDefault="00FF1AEA" w:rsidP="00362227">
      <w:pPr>
        <w:pStyle w:val="Prrafodelista"/>
        <w:numPr>
          <w:ilvl w:val="0"/>
          <w:numId w:val="11"/>
        </w:numPr>
        <w:jc w:val="both"/>
      </w:pPr>
      <w:r>
        <w:t>Uso de madera nacional, proveniente de bosque secundario y su aporte a la mitigación del cambio climático</w:t>
      </w:r>
      <w:r w:rsidR="00825EB3">
        <w:t>.</w:t>
      </w:r>
    </w:p>
    <w:p w14:paraId="5A07C651" w14:textId="31D9892F" w:rsidR="00FF1AEA" w:rsidRDefault="00FF1AEA" w:rsidP="00362227">
      <w:pPr>
        <w:pStyle w:val="Prrafodelista"/>
        <w:numPr>
          <w:ilvl w:val="0"/>
          <w:numId w:val="11"/>
        </w:numPr>
        <w:jc w:val="both"/>
      </w:pPr>
      <w:r>
        <w:t>Contribuye con la regeneración del bosque secundario</w:t>
      </w:r>
      <w:r w:rsidR="00825EB3">
        <w:t>.</w:t>
      </w:r>
    </w:p>
    <w:p w14:paraId="774FEB43" w14:textId="01708B32" w:rsidR="00FF1AEA" w:rsidRDefault="00FF1AEA" w:rsidP="00362227">
      <w:pPr>
        <w:pStyle w:val="Prrafodelista"/>
        <w:numPr>
          <w:ilvl w:val="0"/>
          <w:numId w:val="11"/>
        </w:numPr>
        <w:jc w:val="both"/>
      </w:pPr>
      <w:r>
        <w:t>Los productos de madera contribuyen con el almacenamiento de carbono</w:t>
      </w:r>
      <w:r w:rsidR="00825EB3">
        <w:t>.</w:t>
      </w:r>
    </w:p>
    <w:p w14:paraId="50016160" w14:textId="5598BCB4" w:rsidR="00FF1AEA" w:rsidRDefault="00FF1AEA" w:rsidP="00362227">
      <w:pPr>
        <w:pStyle w:val="Prrafodelista"/>
        <w:numPr>
          <w:ilvl w:val="0"/>
          <w:numId w:val="11"/>
        </w:numPr>
        <w:jc w:val="both"/>
      </w:pPr>
      <w:r>
        <w:t>Marca país y está de acuerdo con la reciente política pública sobre la promoción del uso de la madera</w:t>
      </w:r>
      <w:r w:rsidR="00825EB3">
        <w:t>.</w:t>
      </w:r>
    </w:p>
    <w:p w14:paraId="6001796A" w14:textId="5F8C206E" w:rsidR="00FF1AEA" w:rsidRDefault="00FF1AEA" w:rsidP="00362227">
      <w:pPr>
        <w:pStyle w:val="Prrafodelista"/>
        <w:numPr>
          <w:ilvl w:val="0"/>
          <w:numId w:val="11"/>
        </w:numPr>
        <w:jc w:val="both"/>
      </w:pPr>
      <w:r>
        <w:t>Dinamiza la economía local</w:t>
      </w:r>
      <w:r w:rsidR="00825EB3">
        <w:t>.</w:t>
      </w:r>
    </w:p>
    <w:p w14:paraId="339BB3AC" w14:textId="1DC4F581" w:rsidR="00FF1AEA" w:rsidRDefault="00FF1AEA" w:rsidP="00362227">
      <w:pPr>
        <w:pStyle w:val="Prrafodelista"/>
        <w:numPr>
          <w:ilvl w:val="0"/>
          <w:numId w:val="11"/>
        </w:numPr>
        <w:jc w:val="both"/>
      </w:pPr>
      <w:r>
        <w:t>Reduce el desperdicio al utilizar piezas pequeñas en la elaboración</w:t>
      </w:r>
      <w:r w:rsidR="00825EB3">
        <w:t>.</w:t>
      </w:r>
    </w:p>
    <w:p w14:paraId="774890FE" w14:textId="280B0BAA" w:rsidR="00FF1AEA" w:rsidRDefault="00FF1AEA" w:rsidP="00362227">
      <w:pPr>
        <w:pStyle w:val="Prrafodelista"/>
        <w:numPr>
          <w:ilvl w:val="0"/>
          <w:numId w:val="11"/>
        </w:numPr>
        <w:jc w:val="both"/>
      </w:pPr>
      <w:r>
        <w:t>Alto valor agregado</w:t>
      </w:r>
      <w:r w:rsidR="00825EB3">
        <w:t>.</w:t>
      </w:r>
    </w:p>
    <w:p w14:paraId="35EF535D" w14:textId="4ACB3C45" w:rsidR="00FF1AEA" w:rsidRDefault="00FF1AEA" w:rsidP="00362227">
      <w:pPr>
        <w:pStyle w:val="Prrafodelista"/>
        <w:numPr>
          <w:ilvl w:val="0"/>
          <w:numId w:val="11"/>
        </w:numPr>
        <w:jc w:val="both"/>
      </w:pPr>
      <w:r>
        <w:t>Respeto por los aspectos culturales</w:t>
      </w:r>
      <w:r w:rsidR="00825EB3">
        <w:t>.</w:t>
      </w:r>
    </w:p>
    <w:p w14:paraId="395DF0A0" w14:textId="71D3EFCA" w:rsidR="00FF1AEA" w:rsidRDefault="00FF1AEA" w:rsidP="00362227">
      <w:pPr>
        <w:pStyle w:val="Prrafodelista"/>
        <w:numPr>
          <w:ilvl w:val="0"/>
          <w:numId w:val="11"/>
        </w:numPr>
        <w:jc w:val="both"/>
      </w:pPr>
      <w:r>
        <w:t>La fabricación artesanal puede generar cadenas de valor local</w:t>
      </w:r>
      <w:r w:rsidR="00825EB3">
        <w:t>.</w:t>
      </w:r>
    </w:p>
    <w:p w14:paraId="63E4FBCC" w14:textId="6AA31895" w:rsidR="00FF1AEA" w:rsidRDefault="00FF1AEA" w:rsidP="00362227">
      <w:pPr>
        <w:pStyle w:val="Prrafodelista"/>
        <w:numPr>
          <w:ilvl w:val="0"/>
          <w:numId w:val="11"/>
        </w:numPr>
        <w:jc w:val="both"/>
      </w:pPr>
      <w:r>
        <w:t>Uso creativo que destaca el material utilizado</w:t>
      </w:r>
      <w:r w:rsidR="00825EB3">
        <w:t>.</w:t>
      </w:r>
    </w:p>
    <w:p w14:paraId="629C9A7F" w14:textId="0DF3043E" w:rsidR="00FF1AEA" w:rsidRDefault="00FF1AEA" w:rsidP="00362227">
      <w:pPr>
        <w:pStyle w:val="Prrafodelista"/>
        <w:numPr>
          <w:ilvl w:val="0"/>
          <w:numId w:val="11"/>
        </w:numPr>
        <w:jc w:val="both"/>
      </w:pPr>
      <w:r>
        <w:t>Incorpora el uso de la tecnología, aunque puede recrearse artesanalmente</w:t>
      </w:r>
      <w:r w:rsidR="00825EB3">
        <w:t>.</w:t>
      </w:r>
    </w:p>
    <w:p w14:paraId="2CDFEEBA" w14:textId="3EF67885" w:rsidR="00FF1AEA" w:rsidRDefault="00FF1AEA" w:rsidP="00362227">
      <w:pPr>
        <w:pStyle w:val="Prrafodelista"/>
        <w:numPr>
          <w:ilvl w:val="0"/>
          <w:numId w:val="11"/>
        </w:numPr>
        <w:jc w:val="both"/>
      </w:pPr>
      <w:r>
        <w:t>Contempla la estética y la cultura del lugar de procedencia</w:t>
      </w:r>
      <w:r w:rsidR="00825EB3">
        <w:t>.</w:t>
      </w:r>
    </w:p>
    <w:p w14:paraId="25D62153" w14:textId="107A506C" w:rsidR="00FF1AEA" w:rsidRDefault="00FF1AEA" w:rsidP="00362227">
      <w:pPr>
        <w:pStyle w:val="Prrafodelista"/>
        <w:numPr>
          <w:ilvl w:val="0"/>
          <w:numId w:val="11"/>
        </w:numPr>
        <w:jc w:val="both"/>
      </w:pPr>
      <w:r>
        <w:t>El fermentador facilita el arte de hacer pan, aporta a emprendimientos y producción de artesanal y consciente alimentos</w:t>
      </w:r>
      <w:r w:rsidR="00825EB3">
        <w:t>.</w:t>
      </w:r>
    </w:p>
    <w:p w14:paraId="22C93922" w14:textId="3F6C0B5D" w:rsidR="00FF1AEA" w:rsidRDefault="00FF1AEA" w:rsidP="00362227">
      <w:pPr>
        <w:pStyle w:val="Prrafodelista"/>
        <w:numPr>
          <w:ilvl w:val="0"/>
          <w:numId w:val="11"/>
        </w:numPr>
        <w:jc w:val="both"/>
      </w:pPr>
      <w:r>
        <w:t>Eficiencia, innovación, adaptación y originalidad</w:t>
      </w:r>
      <w:r w:rsidR="00825EB3">
        <w:t>.</w:t>
      </w:r>
    </w:p>
    <w:p w14:paraId="2879ECAE" w14:textId="714D9E04" w:rsidR="009B5008" w:rsidRDefault="009B5008" w:rsidP="00362227">
      <w:pPr>
        <w:pStyle w:val="Prrafodelista"/>
        <w:numPr>
          <w:ilvl w:val="0"/>
          <w:numId w:val="11"/>
        </w:numPr>
        <w:jc w:val="both"/>
      </w:pPr>
      <w:r>
        <w:t xml:space="preserve">A cada </w:t>
      </w:r>
      <w:r w:rsidR="00EF65E0">
        <w:t>producto</w:t>
      </w:r>
      <w:r>
        <w:t>, se le puede adaptar una historia social fundamentada en su procedencia (bosques propiedad de pequeños productores) y la sostenibilidad al provenir de bosques bajo manejo forestal sostenible.</w:t>
      </w:r>
    </w:p>
    <w:p w14:paraId="0E55E089" w14:textId="6203E3B6" w:rsidR="00A4734E" w:rsidRDefault="00A4734E" w:rsidP="00362227">
      <w:pPr>
        <w:pStyle w:val="Prrafodelista"/>
        <w:numPr>
          <w:ilvl w:val="0"/>
          <w:numId w:val="11"/>
        </w:numPr>
        <w:jc w:val="both"/>
      </w:pPr>
      <w:r>
        <w:t>Posibilidad de incorporación de grupos vulnerables tales como mujeres, personas indígenas y personas en condición de discapacidad entre otros.</w:t>
      </w:r>
    </w:p>
    <w:p w14:paraId="300E91CD" w14:textId="24B82AE9" w:rsidR="00825EB3" w:rsidRDefault="00825EB3" w:rsidP="00825EB3">
      <w:pPr>
        <w:jc w:val="both"/>
      </w:pPr>
      <w:r>
        <w:t xml:space="preserve">En complemento a los productos maderables y basados en el enfoque de manejo del paisaje los productos no maderables (PNM) generados en las Unidades de Paisaje Productivo (UPP) determinadas en el producto 1 de este proyecto constituyen una oportunidad económica que de igual manera cumple con los criterios de priorización del país. Algunas de las principales cadenas de producción de PNM son la producción de miel, bambú, </w:t>
      </w:r>
      <w:r w:rsidR="009B5008">
        <w:t xml:space="preserve">aceites </w:t>
      </w:r>
      <w:r w:rsidR="000D3CE6">
        <w:t>esenciales</w:t>
      </w:r>
      <w:r w:rsidR="009B5008">
        <w:t xml:space="preserve"> </w:t>
      </w:r>
      <w:r>
        <w:t>para fabricación de productos de cuidado personal, hule natural y bioactivos.</w:t>
      </w:r>
    </w:p>
    <w:p w14:paraId="0CCE4DF1" w14:textId="03E3F591" w:rsidR="00F424A1" w:rsidRDefault="00825EB3" w:rsidP="00825EB3">
      <w:pPr>
        <w:jc w:val="both"/>
      </w:pPr>
      <w:r>
        <w:t xml:space="preserve">Para lograr una mayor efectividad de los alcances descritos el sector forestal debe considerar algunos aspectos fundamentales, estandarización y valor agregado, prospección de mercado que permita conocer a detalle </w:t>
      </w:r>
      <w:r w:rsidR="00F424A1">
        <w:t>los mercados a los cuales busca escalar nuevos productos. Cada uno de estos aspectos se amplía en la figura 7 y son aplicables para los PNM.</w:t>
      </w:r>
    </w:p>
    <w:p w14:paraId="0DD95B3B" w14:textId="77777777" w:rsidR="00F424A1" w:rsidRDefault="00F424A1" w:rsidP="00825EB3">
      <w:pPr>
        <w:jc w:val="both"/>
      </w:pPr>
    </w:p>
    <w:p w14:paraId="62DD3FBA" w14:textId="77777777" w:rsidR="00F424A1" w:rsidRDefault="00F424A1" w:rsidP="00825EB3">
      <w:pPr>
        <w:jc w:val="both"/>
      </w:pPr>
    </w:p>
    <w:p w14:paraId="7EC4E0B9" w14:textId="77777777" w:rsidR="00F424A1" w:rsidRDefault="00F424A1" w:rsidP="00825EB3">
      <w:pPr>
        <w:jc w:val="both"/>
      </w:pPr>
    </w:p>
    <w:p w14:paraId="4BFF27F4" w14:textId="77777777" w:rsidR="000D3CE6" w:rsidRDefault="000D3CE6" w:rsidP="00825EB3">
      <w:pPr>
        <w:jc w:val="both"/>
      </w:pPr>
    </w:p>
    <w:p w14:paraId="764E3D16" w14:textId="77777777" w:rsidR="000D3CE6" w:rsidRDefault="000D3CE6" w:rsidP="00825EB3">
      <w:pPr>
        <w:jc w:val="both"/>
      </w:pPr>
    </w:p>
    <w:p w14:paraId="018B95D9" w14:textId="77777777" w:rsidR="000D3CE6" w:rsidRDefault="000D3CE6" w:rsidP="00825EB3">
      <w:pPr>
        <w:jc w:val="both"/>
      </w:pPr>
    </w:p>
    <w:p w14:paraId="1F3E1F93" w14:textId="77777777" w:rsidR="000D3CE6" w:rsidRDefault="000D3CE6" w:rsidP="00825EB3">
      <w:pPr>
        <w:jc w:val="both"/>
      </w:pPr>
    </w:p>
    <w:p w14:paraId="297231EC" w14:textId="2B5D93D4" w:rsidR="00825EB3" w:rsidRPr="00F424A1" w:rsidRDefault="00F424A1" w:rsidP="00F424A1">
      <w:pPr>
        <w:pStyle w:val="Descripcin"/>
        <w:rPr>
          <w:color w:val="auto"/>
          <w:sz w:val="22"/>
          <w:szCs w:val="22"/>
        </w:rPr>
      </w:pPr>
      <w:r w:rsidRPr="00F424A1">
        <w:rPr>
          <w:color w:val="auto"/>
          <w:sz w:val="22"/>
          <w:szCs w:val="22"/>
        </w:rPr>
        <w:t xml:space="preserve">Figura </w:t>
      </w:r>
      <w:r w:rsidRPr="00F424A1">
        <w:rPr>
          <w:color w:val="auto"/>
          <w:sz w:val="22"/>
          <w:szCs w:val="22"/>
        </w:rPr>
        <w:fldChar w:fldCharType="begin"/>
      </w:r>
      <w:r w:rsidRPr="00F424A1">
        <w:rPr>
          <w:color w:val="auto"/>
          <w:sz w:val="22"/>
          <w:szCs w:val="22"/>
        </w:rPr>
        <w:instrText xml:space="preserve"> SEQ Figura \* ARABIC </w:instrText>
      </w:r>
      <w:r w:rsidRPr="00F424A1">
        <w:rPr>
          <w:color w:val="auto"/>
          <w:sz w:val="22"/>
          <w:szCs w:val="22"/>
        </w:rPr>
        <w:fldChar w:fldCharType="separate"/>
      </w:r>
      <w:r w:rsidR="00CB0DAA">
        <w:rPr>
          <w:noProof/>
          <w:color w:val="auto"/>
          <w:sz w:val="22"/>
          <w:szCs w:val="22"/>
        </w:rPr>
        <w:t>7</w:t>
      </w:r>
      <w:r w:rsidRPr="00F424A1">
        <w:rPr>
          <w:color w:val="auto"/>
          <w:sz w:val="22"/>
          <w:szCs w:val="22"/>
        </w:rPr>
        <w:fldChar w:fldCharType="end"/>
      </w:r>
      <w:r w:rsidRPr="00F424A1">
        <w:rPr>
          <w:color w:val="auto"/>
          <w:sz w:val="22"/>
          <w:szCs w:val="22"/>
        </w:rPr>
        <w:t>. Oportunidades comerciales de los productos maderables.</w:t>
      </w:r>
      <w:r w:rsidR="00825EB3" w:rsidRPr="00F424A1">
        <w:rPr>
          <w:color w:val="auto"/>
          <w:sz w:val="22"/>
          <w:szCs w:val="22"/>
        </w:rPr>
        <w:t xml:space="preserve"> </w:t>
      </w:r>
    </w:p>
    <w:p w14:paraId="08E32CE4" w14:textId="416BDA2F" w:rsidR="00825EB3" w:rsidRDefault="00825EB3" w:rsidP="00825EB3">
      <w:pPr>
        <w:jc w:val="both"/>
      </w:pPr>
      <w:r>
        <w:rPr>
          <w:noProof/>
          <w14:ligatures w14:val="standardContextual"/>
        </w:rPr>
        <w:drawing>
          <wp:inline distT="0" distB="0" distL="0" distR="0" wp14:anchorId="619E2479" wp14:editId="0CBA4257">
            <wp:extent cx="5612130" cy="3156585"/>
            <wp:effectExtent l="0" t="0" r="7620" b="5715"/>
            <wp:docPr id="407396060" name="Imagen 10" descr="Diagram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396060" name="Imagen 10" descr="Diagrama&#10;&#10;Descripción generada automáticamente con confianza baja"/>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612130" cy="3156585"/>
                    </a:xfrm>
                    <a:prstGeom prst="rect">
                      <a:avLst/>
                    </a:prstGeom>
                  </pic:spPr>
                </pic:pic>
              </a:graphicData>
            </a:graphic>
          </wp:inline>
        </w:drawing>
      </w:r>
    </w:p>
    <w:p w14:paraId="6E47CCE7" w14:textId="77777777" w:rsidR="00F424A1" w:rsidRDefault="00F424A1" w:rsidP="00F424A1"/>
    <w:p w14:paraId="5E969B29" w14:textId="75B01D32" w:rsidR="00621777" w:rsidRPr="00621777" w:rsidRDefault="00621777" w:rsidP="00621777">
      <w:pPr>
        <w:pStyle w:val="Ttulo2"/>
      </w:pPr>
      <w:bookmarkStart w:id="28" w:name="_Toc159442597"/>
      <w:r w:rsidRPr="00621777">
        <w:t>4.</w:t>
      </w:r>
      <w:r>
        <w:t>2</w:t>
      </w:r>
      <w:r w:rsidRPr="00621777">
        <w:t xml:space="preserve"> </w:t>
      </w:r>
      <w:r>
        <w:t>Hoja de ruta con el MEIC</w:t>
      </w:r>
      <w:bookmarkEnd w:id="28"/>
    </w:p>
    <w:p w14:paraId="5FF5AA2D" w14:textId="77777777" w:rsidR="000B4EFE" w:rsidRDefault="000B4EFE" w:rsidP="000B4EFE"/>
    <w:p w14:paraId="782A5459" w14:textId="5371D1A1" w:rsidR="00A31257" w:rsidRDefault="000B4EFE" w:rsidP="00A31257">
      <w:pPr>
        <w:jc w:val="both"/>
      </w:pPr>
      <w:r>
        <w:t xml:space="preserve">Dentro de las propuestas señaladas, el MEIC reconoce la necesidad de una hoja de ruta que prepare a los productores para su autosostenibilidad, la cual les permita el desarrollo de la comercialización a nivel nacional.  </w:t>
      </w:r>
      <w:r w:rsidR="00A343C0">
        <w:t xml:space="preserve">Para ello el plan operativo del ministerio ha incorporado al sector en la agenda de planificación 2024 y de manera conjunta se abordarán aspectos para el aumento de capacidades y la gestión de las empresas forestales. </w:t>
      </w:r>
    </w:p>
    <w:p w14:paraId="1E2D142E" w14:textId="3ED329C6" w:rsidR="00A31257" w:rsidRDefault="00A31257" w:rsidP="00A31257">
      <w:pPr>
        <w:jc w:val="both"/>
      </w:pPr>
      <w:r>
        <w:t xml:space="preserve">Para la hoja de ruta para la comercialización de productos maderables en el mercado local el objetivo general es maximizar la rentabilidad y la sostenibilidad de las empresas o del sector maderero en su conjunto. Para lograr este objetivo se definieron metas específicas que contribuyan al éxito del plan. </w:t>
      </w:r>
    </w:p>
    <w:p w14:paraId="43AAD868" w14:textId="72732EF9" w:rsidR="00A31257" w:rsidRPr="00A31257" w:rsidRDefault="00A31257" w:rsidP="00A31257">
      <w:pPr>
        <w:rPr>
          <w:b/>
          <w:bCs/>
        </w:rPr>
      </w:pPr>
      <w:r w:rsidRPr="00A31257">
        <w:rPr>
          <w:b/>
          <w:bCs/>
        </w:rPr>
        <w:lastRenderedPageBreak/>
        <w:t>Objetivo principal:</w:t>
      </w:r>
    </w:p>
    <w:p w14:paraId="0C3CD651" w14:textId="17B85D42" w:rsidR="00A31257" w:rsidRDefault="00A31257" w:rsidP="00A31257">
      <w:r>
        <w:t>Maximizar la rentabilidad y la sostenibilidad de la comercialización de productos maderables en el mercado local, manteniendo altos estándares de calidad y responsabilidad ambiental de acuerdo con los lineamientos del MEIC.</w:t>
      </w:r>
    </w:p>
    <w:p w14:paraId="51BE3EF8" w14:textId="47DE0336" w:rsidR="00A31257" w:rsidRPr="00A31257" w:rsidRDefault="00A31257" w:rsidP="00A31257">
      <w:pPr>
        <w:rPr>
          <w:b/>
          <w:bCs/>
        </w:rPr>
      </w:pPr>
      <w:r w:rsidRPr="00A31257">
        <w:rPr>
          <w:b/>
          <w:bCs/>
        </w:rPr>
        <w:t>Metas específicas:</w:t>
      </w:r>
    </w:p>
    <w:p w14:paraId="4F7C0A45" w14:textId="0FF62D02" w:rsidR="00A31257" w:rsidRDefault="00A31257" w:rsidP="00E31EF4">
      <w:pPr>
        <w:pStyle w:val="Prrafodelista"/>
        <w:numPr>
          <w:ilvl w:val="0"/>
          <w:numId w:val="13"/>
        </w:numPr>
        <w:ind w:left="284" w:hanging="284"/>
        <w:jc w:val="both"/>
      </w:pPr>
      <w:r w:rsidRPr="00E31EF4">
        <w:rPr>
          <w:b/>
          <w:bCs/>
        </w:rPr>
        <w:t>Investigación de mercado:</w:t>
      </w:r>
      <w:r>
        <w:t xml:space="preserve"> realizar un estudio exhaustivo del mercado local para comprender las tendencias, preferencias del consumidor, competencia y demanda potencial de productos maderables.</w:t>
      </w:r>
    </w:p>
    <w:p w14:paraId="53D87318" w14:textId="7CA1D9C5" w:rsidR="00A31257" w:rsidRDefault="00A31257" w:rsidP="00E31EF4">
      <w:pPr>
        <w:pStyle w:val="Prrafodelista"/>
        <w:numPr>
          <w:ilvl w:val="0"/>
          <w:numId w:val="13"/>
        </w:numPr>
        <w:ind w:left="284" w:hanging="284"/>
        <w:jc w:val="both"/>
      </w:pPr>
      <w:r w:rsidRPr="00E31EF4">
        <w:rPr>
          <w:b/>
          <w:bCs/>
        </w:rPr>
        <w:t>Desarrollo de productos:</w:t>
      </w:r>
      <w:r>
        <w:t xml:space="preserve"> desarrollar productos maderables que satisfagan las necesidades y demandas identificadas en el mercado local, considerando la calidad, la durabilidad y la estética.</w:t>
      </w:r>
    </w:p>
    <w:p w14:paraId="4F3A3C1F" w14:textId="4F154887" w:rsidR="00A31257" w:rsidRDefault="00A31257" w:rsidP="00E31EF4">
      <w:pPr>
        <w:pStyle w:val="Prrafodelista"/>
        <w:numPr>
          <w:ilvl w:val="0"/>
          <w:numId w:val="13"/>
        </w:numPr>
        <w:ind w:left="284" w:hanging="284"/>
        <w:jc w:val="both"/>
      </w:pPr>
      <w:r w:rsidRPr="00E31EF4">
        <w:rPr>
          <w:b/>
          <w:bCs/>
        </w:rPr>
        <w:t>Establecimiento de canales de distribución:</w:t>
      </w:r>
      <w:r>
        <w:t xml:space="preserve"> establecer una red eficiente de distribución que permita llegar de manera efectiva a los clientes potenciales, incluyendo la identificación de socios comerciales, minoristas y canales de venta directa.</w:t>
      </w:r>
    </w:p>
    <w:p w14:paraId="018CE7A3" w14:textId="34DCDC56" w:rsidR="00A31257" w:rsidRDefault="00A31257" w:rsidP="00E31EF4">
      <w:pPr>
        <w:pStyle w:val="Prrafodelista"/>
        <w:numPr>
          <w:ilvl w:val="0"/>
          <w:numId w:val="13"/>
        </w:numPr>
        <w:ind w:left="284" w:hanging="284"/>
        <w:jc w:val="both"/>
      </w:pPr>
      <w:r w:rsidRPr="00E31EF4">
        <w:rPr>
          <w:b/>
          <w:bCs/>
        </w:rPr>
        <w:t>Promoción y marketing:</w:t>
      </w:r>
      <w:r>
        <w:t xml:space="preserve"> adaptar y diseñar estrategias de marketing efectivas para promocionar los productos maderables, destacando sus características únicas, valores ecológicos y beneficios para el consumidor local, implementación del branding de la marca país.</w:t>
      </w:r>
    </w:p>
    <w:p w14:paraId="115119D2" w14:textId="32FE0BEC" w:rsidR="00A31257" w:rsidRDefault="00A31257" w:rsidP="00E31EF4">
      <w:pPr>
        <w:pStyle w:val="Prrafodelista"/>
        <w:numPr>
          <w:ilvl w:val="0"/>
          <w:numId w:val="13"/>
        </w:numPr>
        <w:ind w:left="284" w:hanging="284"/>
        <w:jc w:val="both"/>
      </w:pPr>
      <w:r w:rsidRPr="00E31EF4">
        <w:rPr>
          <w:b/>
          <w:bCs/>
        </w:rPr>
        <w:t>Gestión de la cadena de suministro:</w:t>
      </w:r>
      <w:r>
        <w:t xml:space="preserve"> </w:t>
      </w:r>
      <w:r w:rsidR="00744F5D">
        <w:t>o</w:t>
      </w:r>
      <w:r>
        <w:t>ptimizar la cadena de suministro para garantizar la disponibilidad constante de productos maderables, gestionando eficientemente la producción, el almacenamiento y la distribución.</w:t>
      </w:r>
    </w:p>
    <w:p w14:paraId="2B7815BF" w14:textId="1C775DEC" w:rsidR="00A31257" w:rsidRDefault="00A31257" w:rsidP="00E31EF4">
      <w:pPr>
        <w:pStyle w:val="Prrafodelista"/>
        <w:numPr>
          <w:ilvl w:val="0"/>
          <w:numId w:val="13"/>
        </w:numPr>
        <w:ind w:left="284" w:hanging="284"/>
        <w:jc w:val="both"/>
      </w:pPr>
      <w:r w:rsidRPr="00E31EF4">
        <w:rPr>
          <w:b/>
          <w:bCs/>
        </w:rPr>
        <w:t>Cumplimiento normativo y sostenibilidad:</w:t>
      </w:r>
      <w:r>
        <w:t xml:space="preserve"> </w:t>
      </w:r>
      <w:r w:rsidR="00744F5D">
        <w:t>a</w:t>
      </w:r>
      <w:r>
        <w:t>segurar el cumplimiento de todas las regulaciones locales y nacionales relacionadas con la producción y comercialización de productos maderables, así como promover prácticas sostenibles de gestión forestal y producción.</w:t>
      </w:r>
    </w:p>
    <w:p w14:paraId="12F78AFD" w14:textId="010573A9" w:rsidR="00A31257" w:rsidRDefault="00A31257" w:rsidP="00E31EF4">
      <w:pPr>
        <w:pStyle w:val="Prrafodelista"/>
        <w:numPr>
          <w:ilvl w:val="0"/>
          <w:numId w:val="13"/>
        </w:numPr>
        <w:ind w:left="284" w:hanging="284"/>
        <w:jc w:val="both"/>
      </w:pPr>
      <w:r w:rsidRPr="00E31EF4">
        <w:rPr>
          <w:b/>
          <w:bCs/>
        </w:rPr>
        <w:t>Control de calidad:</w:t>
      </w:r>
      <w:r>
        <w:t xml:space="preserve"> implementar sistemas de control de calidad rigurosos para garantizar la consistencia y la satisfacción del cliente en todos los productos maderables comercializados.</w:t>
      </w:r>
    </w:p>
    <w:p w14:paraId="1DB62BDC" w14:textId="69FB250B" w:rsidR="00A31257" w:rsidRDefault="00A31257" w:rsidP="00E31EF4">
      <w:pPr>
        <w:pStyle w:val="Prrafodelista"/>
        <w:numPr>
          <w:ilvl w:val="0"/>
          <w:numId w:val="13"/>
        </w:numPr>
        <w:ind w:left="284" w:hanging="284"/>
        <w:jc w:val="both"/>
      </w:pPr>
      <w:r w:rsidRPr="00E31EF4">
        <w:rPr>
          <w:b/>
          <w:bCs/>
        </w:rPr>
        <w:t>Fidelización de clientes:</w:t>
      </w:r>
      <w:r>
        <w:t xml:space="preserve"> desarrollar programas de fidelización de clientes que incentiven la repetición de compras y promuevan relaciones a largo plazo con los clientes locales.</w:t>
      </w:r>
    </w:p>
    <w:p w14:paraId="70BD5A94" w14:textId="362D9EA0" w:rsidR="00A31257" w:rsidRDefault="00A31257" w:rsidP="00E31EF4">
      <w:pPr>
        <w:pStyle w:val="Prrafodelista"/>
        <w:numPr>
          <w:ilvl w:val="0"/>
          <w:numId w:val="13"/>
        </w:numPr>
        <w:ind w:left="284" w:hanging="284"/>
        <w:jc w:val="both"/>
      </w:pPr>
      <w:r w:rsidRPr="00E31EF4">
        <w:rPr>
          <w:b/>
          <w:bCs/>
        </w:rPr>
        <w:t>Evaluación y mejora continua:</w:t>
      </w:r>
      <w:r>
        <w:t xml:space="preserve"> establecer indicadores clave de rendimiento (KPIs) para evaluar el desempeño de la comercialización de productos maderables en el mercado local, y realizar ajustes y mejora continua basadas en los resultados obtenidos.</w:t>
      </w:r>
    </w:p>
    <w:p w14:paraId="20AAA5C7" w14:textId="64DA937F" w:rsidR="00A343C0" w:rsidRDefault="00A31257" w:rsidP="00A31257">
      <w:pPr>
        <w:jc w:val="both"/>
      </w:pPr>
      <w:r>
        <w:t>Al establecer objetivos y metas claras en una hoja de ruta para la comercialización de productos maderables, se puede aumentar la probabilidad de éxito y crear una estrategia sólida para el crecimiento y la sostenibilidad a largo plazo en el mercado local.</w:t>
      </w:r>
      <w:r w:rsidR="00744F5D">
        <w:t xml:space="preserve"> Es importante resaltar que las metas planteadas incorporan aspectos específicos de los departamentos del MEIC y en complemento acciones que comprometen al sector privado para su efectividad.</w:t>
      </w:r>
    </w:p>
    <w:p w14:paraId="3D67F733" w14:textId="0F2B33D3" w:rsidR="00BC217C" w:rsidRDefault="00744F5D" w:rsidP="00E31EF4">
      <w:pPr>
        <w:jc w:val="both"/>
      </w:pPr>
      <w:r>
        <w:t>En este punto la planificación, seguimiento y monitoreo de las actividades por desarrollar para alcanzar las metas propuestas es indispensable, por ello se ha definido el siguiente proceso:</w:t>
      </w:r>
    </w:p>
    <w:p w14:paraId="34944A3A" w14:textId="77777777" w:rsidR="00032444" w:rsidRDefault="00032444" w:rsidP="00E31EF4">
      <w:pPr>
        <w:jc w:val="both"/>
      </w:pPr>
    </w:p>
    <w:p w14:paraId="1C474710" w14:textId="77777777" w:rsidR="00032444" w:rsidRDefault="00032444" w:rsidP="00E31EF4">
      <w:pPr>
        <w:jc w:val="both"/>
      </w:pPr>
    </w:p>
    <w:p w14:paraId="7B04AD08" w14:textId="77777777" w:rsidR="00032444" w:rsidRDefault="00032444" w:rsidP="00E31EF4">
      <w:pPr>
        <w:jc w:val="both"/>
      </w:pPr>
    </w:p>
    <w:p w14:paraId="28C5D932" w14:textId="77777777" w:rsidR="00032444" w:rsidRDefault="00032444" w:rsidP="00E31EF4">
      <w:pPr>
        <w:jc w:val="both"/>
      </w:pPr>
    </w:p>
    <w:p w14:paraId="2650EC72" w14:textId="0B0AEC04" w:rsidR="00744F5D" w:rsidRPr="00BC217C" w:rsidRDefault="00744F5D" w:rsidP="00744F5D">
      <w:pPr>
        <w:pStyle w:val="Descripcin"/>
        <w:rPr>
          <w:color w:val="auto"/>
          <w:sz w:val="22"/>
          <w:szCs w:val="22"/>
        </w:rPr>
      </w:pPr>
      <w:r w:rsidRPr="00BC217C">
        <w:rPr>
          <w:color w:val="auto"/>
          <w:sz w:val="22"/>
          <w:szCs w:val="22"/>
        </w:rPr>
        <w:lastRenderedPageBreak/>
        <w:t xml:space="preserve">Figura </w:t>
      </w:r>
      <w:r w:rsidRPr="00BC217C">
        <w:rPr>
          <w:color w:val="auto"/>
          <w:sz w:val="22"/>
          <w:szCs w:val="22"/>
        </w:rPr>
        <w:fldChar w:fldCharType="begin"/>
      </w:r>
      <w:r w:rsidRPr="00BC217C">
        <w:rPr>
          <w:color w:val="auto"/>
          <w:sz w:val="22"/>
          <w:szCs w:val="22"/>
        </w:rPr>
        <w:instrText xml:space="preserve"> SEQ Figura \* ARABIC </w:instrText>
      </w:r>
      <w:r w:rsidRPr="00BC217C">
        <w:rPr>
          <w:color w:val="auto"/>
          <w:sz w:val="22"/>
          <w:szCs w:val="22"/>
        </w:rPr>
        <w:fldChar w:fldCharType="separate"/>
      </w:r>
      <w:r w:rsidR="00CB0DAA">
        <w:rPr>
          <w:noProof/>
          <w:color w:val="auto"/>
          <w:sz w:val="22"/>
          <w:szCs w:val="22"/>
        </w:rPr>
        <w:t>8</w:t>
      </w:r>
      <w:r w:rsidRPr="00BC217C">
        <w:rPr>
          <w:color w:val="auto"/>
          <w:sz w:val="22"/>
          <w:szCs w:val="22"/>
        </w:rPr>
        <w:fldChar w:fldCharType="end"/>
      </w:r>
      <w:r w:rsidRPr="00BC217C">
        <w:rPr>
          <w:color w:val="auto"/>
          <w:sz w:val="22"/>
          <w:szCs w:val="22"/>
        </w:rPr>
        <w:t xml:space="preserve">. Proceso de la Hoja de ruta </w:t>
      </w:r>
      <w:r w:rsidR="00BC217C" w:rsidRPr="00BC217C">
        <w:rPr>
          <w:color w:val="auto"/>
          <w:sz w:val="22"/>
          <w:szCs w:val="22"/>
        </w:rPr>
        <w:t xml:space="preserve">Sector forestal, vinculación </w:t>
      </w:r>
      <w:r w:rsidRPr="00BC217C">
        <w:rPr>
          <w:color w:val="auto"/>
          <w:sz w:val="22"/>
          <w:szCs w:val="22"/>
        </w:rPr>
        <w:t>CFMI-MEIC</w:t>
      </w:r>
      <w:r w:rsidR="00BC217C" w:rsidRPr="00BC217C">
        <w:rPr>
          <w:color w:val="auto"/>
          <w:sz w:val="22"/>
          <w:szCs w:val="22"/>
        </w:rPr>
        <w:t>, 2024.</w:t>
      </w:r>
    </w:p>
    <w:p w14:paraId="30ACFA14" w14:textId="37F01015" w:rsidR="00744F5D" w:rsidRDefault="00744F5D" w:rsidP="00BC217C">
      <w:pPr>
        <w:jc w:val="center"/>
      </w:pPr>
      <w:r>
        <w:rPr>
          <w:noProof/>
          <w14:ligatures w14:val="standardContextual"/>
        </w:rPr>
        <w:drawing>
          <wp:inline distT="0" distB="0" distL="0" distR="0" wp14:anchorId="0FA5C9C7" wp14:editId="2DFEFEFB">
            <wp:extent cx="4445000" cy="2216150"/>
            <wp:effectExtent l="0" t="0" r="0" b="12700"/>
            <wp:docPr id="104133205" name="Diagrama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14:paraId="06715ABA" w14:textId="43BC1D89" w:rsidR="00A343C0" w:rsidRPr="00BC217C" w:rsidRDefault="00BC217C" w:rsidP="00BC217C">
      <w:pPr>
        <w:rPr>
          <w:sz w:val="18"/>
          <w:szCs w:val="18"/>
        </w:rPr>
      </w:pPr>
      <w:r w:rsidRPr="00BC217C">
        <w:rPr>
          <w:sz w:val="18"/>
          <w:szCs w:val="18"/>
        </w:rPr>
        <w:t>Fuente: elaboración propia.</w:t>
      </w:r>
    </w:p>
    <w:p w14:paraId="6234B440" w14:textId="19BE7A14" w:rsidR="00BC217C" w:rsidRDefault="00BC217C" w:rsidP="00360A1C">
      <w:pPr>
        <w:jc w:val="both"/>
      </w:pPr>
      <w:r>
        <w:t>Cada uno de los pasos del proceso de consolidación de la hoja de ruta requerirá de sesiones de análisis conjunto. En el caso particular de la CFMI es fundamental que se consoliden algunos procesos internos que den soporte a la asesoría y análisis de las empresas y productos antes de redirigirlos al MEIC, esto para identificar la etapa de desarrollo en la que se encuentra la empresa y considerar si antes de contactar con el ministerio requiere de capacitación técnica, esta en etapa de idea de negocio o ya ha logrado consolidar un emprendimiento.</w:t>
      </w:r>
    </w:p>
    <w:p w14:paraId="2C7C57DD" w14:textId="2FCCE332" w:rsidR="00BC217C" w:rsidRDefault="00BC217C" w:rsidP="00BC217C">
      <w:pPr>
        <w:jc w:val="both"/>
      </w:pPr>
      <w:r>
        <w:t xml:space="preserve"> </w:t>
      </w:r>
    </w:p>
    <w:p w14:paraId="043A2780" w14:textId="6F6DD2D5" w:rsidR="00621777" w:rsidRPr="00621777" w:rsidRDefault="00621777" w:rsidP="00621777">
      <w:pPr>
        <w:pStyle w:val="Ttulo2"/>
      </w:pPr>
      <w:bookmarkStart w:id="29" w:name="_Toc159442598"/>
      <w:r w:rsidRPr="00621777">
        <w:t>4.</w:t>
      </w:r>
      <w:r>
        <w:t>2</w:t>
      </w:r>
      <w:r w:rsidRPr="00621777">
        <w:t xml:space="preserve"> </w:t>
      </w:r>
      <w:r>
        <w:t>Hoja de ruta con PROCOMER</w:t>
      </w:r>
      <w:bookmarkEnd w:id="29"/>
    </w:p>
    <w:p w14:paraId="12C41DCA" w14:textId="77777777" w:rsidR="00E31EF4" w:rsidRDefault="00E31EF4" w:rsidP="00E31EF4">
      <w:pPr>
        <w:jc w:val="both"/>
      </w:pPr>
    </w:p>
    <w:p w14:paraId="11D603E9" w14:textId="33136CB2" w:rsidR="00E31EF4" w:rsidRDefault="00E31EF4" w:rsidP="00E31EF4">
      <w:pPr>
        <w:jc w:val="both"/>
      </w:pPr>
      <w:r>
        <w:t>De acuerdo con los alcances de PROCOMER, la hoja de ruta para la comercialización de productos maderables en el mercado internacional tiene como objetivo general expandir la presencia de la empresa o del sector maderero en mercados extranjeros, maximizando la rentabilidad y manteniendo altos estándares de calidad y sostenibilidad. Las metas específicas de esta hoja de ruta son:</w:t>
      </w:r>
    </w:p>
    <w:p w14:paraId="76756FAE" w14:textId="329DD426" w:rsidR="00E31EF4" w:rsidRDefault="00E31EF4" w:rsidP="00E31EF4">
      <w:pPr>
        <w:pStyle w:val="Prrafodelista"/>
        <w:numPr>
          <w:ilvl w:val="0"/>
          <w:numId w:val="12"/>
        </w:numPr>
        <w:ind w:left="426" w:hanging="426"/>
        <w:jc w:val="both"/>
      </w:pPr>
      <w:r w:rsidRPr="00E31EF4">
        <w:rPr>
          <w:b/>
          <w:bCs/>
        </w:rPr>
        <w:t>Investigación de Mercado Internacional:</w:t>
      </w:r>
      <w:r>
        <w:t xml:space="preserve"> realizar un análisis exhaustivo de los mercados internacionales potenciales, incluyendo tendencias, demanda, competencia, regulaciones comerciales y culturales.</w:t>
      </w:r>
    </w:p>
    <w:p w14:paraId="7D95CF22" w14:textId="22AF6101" w:rsidR="00E31EF4" w:rsidRDefault="00E31EF4" w:rsidP="00E31EF4">
      <w:pPr>
        <w:pStyle w:val="Prrafodelista"/>
        <w:numPr>
          <w:ilvl w:val="0"/>
          <w:numId w:val="12"/>
        </w:numPr>
        <w:ind w:left="426" w:hanging="426"/>
        <w:jc w:val="both"/>
      </w:pPr>
      <w:r w:rsidRPr="00E31EF4">
        <w:rPr>
          <w:b/>
          <w:bCs/>
        </w:rPr>
        <w:t>Desarrollo de Productos para el Mercado Internacional:</w:t>
      </w:r>
      <w:r>
        <w:t xml:space="preserve"> adaptar los productos maderables existentes o desarrollar nuevos productos que se ajusten a las preferencias y estándares de calidad del mercado internacional.</w:t>
      </w:r>
    </w:p>
    <w:p w14:paraId="78CEF4C5" w14:textId="5E45E93F" w:rsidR="00E31EF4" w:rsidRDefault="00E31EF4" w:rsidP="00E31EF4">
      <w:pPr>
        <w:pStyle w:val="Prrafodelista"/>
        <w:numPr>
          <w:ilvl w:val="0"/>
          <w:numId w:val="12"/>
        </w:numPr>
        <w:ind w:left="426" w:hanging="426"/>
        <w:jc w:val="both"/>
      </w:pPr>
      <w:r w:rsidRPr="00E31EF4">
        <w:rPr>
          <w:b/>
          <w:bCs/>
        </w:rPr>
        <w:t>Cumplimiento de Normativas y Certificaciones Internacionales:</w:t>
      </w:r>
      <w:r>
        <w:t xml:space="preserve"> garantizar el cumplimiento de regulaciones internacionales y obtener certificaciones de sostenibilidad y calidad reconocidas a nivel global, como el FSC (Forest Stewardship Council) o PEFC (Programme for the Endorsement of Forest Certification).</w:t>
      </w:r>
    </w:p>
    <w:p w14:paraId="2F4CD1B1" w14:textId="4D6EC938" w:rsidR="00E31EF4" w:rsidRDefault="00E31EF4" w:rsidP="00E31EF4">
      <w:pPr>
        <w:pStyle w:val="Prrafodelista"/>
        <w:numPr>
          <w:ilvl w:val="0"/>
          <w:numId w:val="12"/>
        </w:numPr>
        <w:ind w:left="426" w:hanging="426"/>
        <w:jc w:val="both"/>
      </w:pPr>
      <w:r w:rsidRPr="00E31EF4">
        <w:rPr>
          <w:b/>
          <w:bCs/>
        </w:rPr>
        <w:t>Establecimiento de Canales de Distribución Internacionales:</w:t>
      </w:r>
      <w:r>
        <w:t xml:space="preserve"> identificar y establecer relaciones con distribuidores, agentes comerciales o socios estratégicos en los mercados objetivo para facilitar la distribución y comercialización de los productos maderables.</w:t>
      </w:r>
    </w:p>
    <w:p w14:paraId="10A99194" w14:textId="19733201" w:rsidR="00E31EF4" w:rsidRDefault="00E31EF4" w:rsidP="00E31EF4">
      <w:pPr>
        <w:pStyle w:val="Prrafodelista"/>
        <w:numPr>
          <w:ilvl w:val="0"/>
          <w:numId w:val="12"/>
        </w:numPr>
        <w:ind w:left="426" w:hanging="426"/>
        <w:jc w:val="both"/>
      </w:pPr>
      <w:r w:rsidRPr="00E31EF4">
        <w:rPr>
          <w:b/>
          <w:bCs/>
        </w:rPr>
        <w:lastRenderedPageBreak/>
        <w:t>Marketing y Promoción Internacional:</w:t>
      </w:r>
      <w:r>
        <w:t xml:space="preserve"> adaptar y desarrollar estrategias de marketing adaptadas a los mercados internacionales, incluyendo campañas publicitarias, participación en ferias comerciales y eventos sectoriales, así como presencia en medios digitales globales.</w:t>
      </w:r>
    </w:p>
    <w:p w14:paraId="4A0909B2" w14:textId="6562BE91" w:rsidR="00E31EF4" w:rsidRDefault="00E31EF4" w:rsidP="00E31EF4">
      <w:pPr>
        <w:pStyle w:val="Prrafodelista"/>
        <w:numPr>
          <w:ilvl w:val="0"/>
          <w:numId w:val="12"/>
        </w:numPr>
        <w:ind w:left="426" w:hanging="426"/>
        <w:jc w:val="both"/>
      </w:pPr>
      <w:r w:rsidRPr="00E31EF4">
        <w:rPr>
          <w:b/>
          <w:bCs/>
        </w:rPr>
        <w:t>Logística y Gestión de la Cadena de Suministro:</w:t>
      </w:r>
      <w:r>
        <w:t xml:space="preserve"> optimizar la cadena de suministro internacional para garantizar la eficiencia en la producción, transporte, almacenamiento y entrega de los productos maderables a los mercados internacionales.</w:t>
      </w:r>
    </w:p>
    <w:p w14:paraId="7A5D9DCF" w14:textId="1E1BADA0" w:rsidR="00E31EF4" w:rsidRDefault="00E31EF4" w:rsidP="00E31EF4">
      <w:pPr>
        <w:pStyle w:val="Prrafodelista"/>
        <w:numPr>
          <w:ilvl w:val="0"/>
          <w:numId w:val="12"/>
        </w:numPr>
        <w:ind w:left="426" w:hanging="426"/>
        <w:jc w:val="both"/>
      </w:pPr>
      <w:r w:rsidRPr="00E31EF4">
        <w:rPr>
          <w:b/>
          <w:bCs/>
        </w:rPr>
        <w:t>Desarrollo de Alianzas Estratégicas:</w:t>
      </w:r>
      <w:r>
        <w:t xml:space="preserve"> explorar oportunidades de colaboración con organizaciones, instituciones gubernamentales y empresas locales en los mercados internacionales para fortalecer la presencia y competitividad en esos mercados.</w:t>
      </w:r>
    </w:p>
    <w:p w14:paraId="27A98BCC" w14:textId="3CF885A7" w:rsidR="00E31EF4" w:rsidRDefault="00E31EF4" w:rsidP="00E31EF4">
      <w:pPr>
        <w:pStyle w:val="Prrafodelista"/>
        <w:numPr>
          <w:ilvl w:val="0"/>
          <w:numId w:val="12"/>
        </w:numPr>
        <w:ind w:left="426" w:hanging="426"/>
        <w:jc w:val="both"/>
      </w:pPr>
      <w:r w:rsidRPr="00E31EF4">
        <w:rPr>
          <w:b/>
          <w:bCs/>
        </w:rPr>
        <w:t>Gestión de Riesgos y Diversificación de Mercados:</w:t>
      </w:r>
      <w:r>
        <w:t xml:space="preserve"> identificar y gestionar los riesgos asociados con la expansión internacional, así como diversificar los mercados objetivo para reducir la dependencia de un único mercado.</w:t>
      </w:r>
    </w:p>
    <w:p w14:paraId="4B24C1A5" w14:textId="3C215DD3" w:rsidR="00E31EF4" w:rsidRDefault="00E31EF4" w:rsidP="00E31EF4">
      <w:pPr>
        <w:pStyle w:val="Prrafodelista"/>
        <w:numPr>
          <w:ilvl w:val="0"/>
          <w:numId w:val="12"/>
        </w:numPr>
        <w:ind w:left="426" w:hanging="426"/>
        <w:jc w:val="both"/>
      </w:pPr>
      <w:r w:rsidRPr="00E31EF4">
        <w:rPr>
          <w:b/>
          <w:bCs/>
        </w:rPr>
        <w:t>Monitoreo y Evaluación del Desempeño:</w:t>
      </w:r>
      <w:r>
        <w:t xml:space="preserve"> establecer indicadores clave de rendimiento (KPIs) para medir el desempeño en los mercados internacionales y realizar evaluaciones periódicas para identificar áreas de mejora y oportunidades de crecimiento.</w:t>
      </w:r>
    </w:p>
    <w:p w14:paraId="55B799F1" w14:textId="4828986C" w:rsidR="00621777" w:rsidRDefault="00E31EF4" w:rsidP="00E31EF4">
      <w:pPr>
        <w:jc w:val="both"/>
      </w:pPr>
      <w:r>
        <w:t>Nuevamente el establecer metas claras y una hoja de ruta bien definida para la comercialización de productos maderables en el mercado internacional, se pueden aprovechar oportunidades de crecimiento y consolidación en nuevos mercados, manteniendo al mismo tiempo un compromiso con la calidad, la sostenibilidad y la responsabilidad social y ambiental.</w:t>
      </w:r>
    </w:p>
    <w:p w14:paraId="31ECD71A" w14:textId="524CFCF3" w:rsidR="00F424A1" w:rsidRDefault="00CB0DAA" w:rsidP="000B4EFE">
      <w:pPr>
        <w:jc w:val="both"/>
      </w:pPr>
      <w:r>
        <w:t>De acuerdo con los parámetros definidos la CFMI incluirá dentro de sus servicios y beneficios la aplicación del “test exportador”, lo cual permitirá la gestión de un “semillero de empresas forestales” con interés en la exportación y la escalabilidad de sus bienes y servicios. El test es una herramienta de análisis de PROCOMER que permite determinar si la empresa se encuentra en la capacidad de exportar, además permite identificar aspectos o requerimientos previos, en tal caso, si la empresa no se encuentra en una etapa adecuada para la exportación se podrá asesorar para la asistencia técnica con el INA o el MEIC dependiendo de los requerimientos que la CFMI identifique.</w:t>
      </w:r>
    </w:p>
    <w:p w14:paraId="223169B2" w14:textId="4309B040" w:rsidR="00CB0DAA" w:rsidRDefault="00CB0DAA" w:rsidP="00CB0DAA">
      <w:pPr>
        <w:pStyle w:val="Ttulo2"/>
      </w:pPr>
      <w:bookmarkStart w:id="30" w:name="_Toc159442599"/>
      <w:r>
        <w:t>4.3 Propuesta de gestión interna de la CFMI para el seguimiento de las hojas de ruta</w:t>
      </w:r>
      <w:bookmarkEnd w:id="30"/>
    </w:p>
    <w:p w14:paraId="43F1A78E" w14:textId="77777777" w:rsidR="00CB0DAA" w:rsidRDefault="00CB0DAA" w:rsidP="000B4EFE">
      <w:pPr>
        <w:jc w:val="both"/>
      </w:pPr>
    </w:p>
    <w:p w14:paraId="76386B98" w14:textId="74EFE8A1" w:rsidR="00CB0DAA" w:rsidRDefault="00CB0DAA" w:rsidP="000B4EFE">
      <w:pPr>
        <w:jc w:val="both"/>
      </w:pPr>
      <w:r w:rsidRPr="00CB0DAA">
        <w:t xml:space="preserve">Es importante destacar que esta primera fase incluye capacitaciones adicionales y complementarias sobre procesos </w:t>
      </w:r>
      <w:r>
        <w:t xml:space="preserve">técnicos, </w:t>
      </w:r>
      <w:r w:rsidRPr="00CB0DAA">
        <w:t>gerenciales</w:t>
      </w:r>
      <w:r>
        <w:t xml:space="preserve"> y de mercado, de acuerdo con lo definido en el producto 2 y el vínculo con el INA</w:t>
      </w:r>
      <w:r w:rsidRPr="00CB0DAA">
        <w:t>. Este punto es fundamental para lograr generar capacidades en la población y de este modo lograr un fortalecimiento de la actividad forestal, con base en casos de éxito que surjan del acompañamiento e incubación de los modelos de negocio.</w:t>
      </w:r>
      <w:r>
        <w:t xml:space="preserve"> En el caso particular del departamento de evaluación y formulación de proyectos deberá ser una mejora que la CFMI incorpore en su gestión interna.</w:t>
      </w:r>
    </w:p>
    <w:p w14:paraId="62D0DDF3" w14:textId="77777777" w:rsidR="00C952C6" w:rsidRDefault="00C952C6" w:rsidP="000B4EFE">
      <w:pPr>
        <w:jc w:val="both"/>
      </w:pPr>
    </w:p>
    <w:p w14:paraId="6FABEC73" w14:textId="77777777" w:rsidR="00032444" w:rsidRDefault="00032444" w:rsidP="000B4EFE">
      <w:pPr>
        <w:jc w:val="both"/>
      </w:pPr>
    </w:p>
    <w:p w14:paraId="1FC979B6" w14:textId="77777777" w:rsidR="00032444" w:rsidRDefault="00032444" w:rsidP="000B4EFE">
      <w:pPr>
        <w:jc w:val="both"/>
      </w:pPr>
    </w:p>
    <w:p w14:paraId="63B95CA7" w14:textId="77777777" w:rsidR="00032444" w:rsidRDefault="00032444" w:rsidP="000B4EFE">
      <w:pPr>
        <w:jc w:val="both"/>
      </w:pPr>
    </w:p>
    <w:p w14:paraId="656ED128" w14:textId="77777777" w:rsidR="00032444" w:rsidRDefault="00032444" w:rsidP="000B4EFE">
      <w:pPr>
        <w:jc w:val="both"/>
      </w:pPr>
    </w:p>
    <w:p w14:paraId="7482F81F" w14:textId="33320D33" w:rsidR="00CB0DAA" w:rsidRPr="00CB0DAA" w:rsidRDefault="00CB0DAA" w:rsidP="00CB0DAA">
      <w:pPr>
        <w:pStyle w:val="Descripcin"/>
        <w:rPr>
          <w:color w:val="auto"/>
          <w:kern w:val="0"/>
          <w:sz w:val="28"/>
          <w:szCs w:val="28"/>
          <w:lang w:eastAsia="es-CR"/>
        </w:rPr>
      </w:pPr>
      <w:r w:rsidRPr="00CB0DAA">
        <w:rPr>
          <w:color w:val="auto"/>
          <w:sz w:val="22"/>
          <w:szCs w:val="22"/>
        </w:rPr>
        <w:lastRenderedPageBreak/>
        <w:t xml:space="preserve">Figura </w:t>
      </w:r>
      <w:r w:rsidRPr="00CB0DAA">
        <w:rPr>
          <w:color w:val="auto"/>
          <w:sz w:val="22"/>
          <w:szCs w:val="22"/>
        </w:rPr>
        <w:fldChar w:fldCharType="begin"/>
      </w:r>
      <w:r w:rsidRPr="00CB0DAA">
        <w:rPr>
          <w:color w:val="auto"/>
          <w:sz w:val="22"/>
          <w:szCs w:val="22"/>
        </w:rPr>
        <w:instrText xml:space="preserve"> SEQ Figura \* ARABIC </w:instrText>
      </w:r>
      <w:r w:rsidRPr="00CB0DAA">
        <w:rPr>
          <w:color w:val="auto"/>
          <w:sz w:val="22"/>
          <w:szCs w:val="22"/>
        </w:rPr>
        <w:fldChar w:fldCharType="separate"/>
      </w:r>
      <w:r w:rsidRPr="00CB0DAA">
        <w:rPr>
          <w:noProof/>
          <w:color w:val="auto"/>
          <w:sz w:val="22"/>
          <w:szCs w:val="22"/>
        </w:rPr>
        <w:t>9</w:t>
      </w:r>
      <w:r w:rsidRPr="00CB0DAA">
        <w:rPr>
          <w:color w:val="auto"/>
          <w:sz w:val="22"/>
          <w:szCs w:val="22"/>
        </w:rPr>
        <w:fldChar w:fldCharType="end"/>
      </w:r>
      <w:r w:rsidRPr="00CB0DAA">
        <w:rPr>
          <w:color w:val="auto"/>
          <w:sz w:val="22"/>
          <w:szCs w:val="22"/>
        </w:rPr>
        <w:t>. Flujo de procesos: Fase 1 Evaluación y desarrollo de ideas de nuevos productos.</w:t>
      </w:r>
    </w:p>
    <w:p w14:paraId="5F75C0E9" w14:textId="77777777" w:rsidR="00CB0DAA" w:rsidRPr="008E7F64" w:rsidRDefault="00CB0DAA" w:rsidP="00CB0DAA">
      <w:r w:rsidRPr="008E7F64">
        <w:rPr>
          <w:noProof/>
        </w:rPr>
        <w:drawing>
          <wp:inline distT="0" distB="0" distL="0" distR="0" wp14:anchorId="359A1126" wp14:editId="7290BA24">
            <wp:extent cx="5612130" cy="3260035"/>
            <wp:effectExtent l="0" t="0" r="0" b="0"/>
            <wp:docPr id="12" name="Imagen 12" descr="Una captura de pantalla de un celular con texto e imagen&#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Una captura de pantalla de un celular con texto e imagen&#10;&#10;Descripción generada automáticamente con confianza media"/>
                    <pic:cNvPicPr/>
                  </pic:nvPicPr>
                  <pic:blipFill rotWithShape="1">
                    <a:blip r:embed="rId39">
                      <a:extLst>
                        <a:ext uri="{28A0092B-C50C-407E-A947-70E740481C1C}">
                          <a14:useLocalDpi xmlns:a14="http://schemas.microsoft.com/office/drawing/2010/main" val="0"/>
                        </a:ext>
                      </a:extLst>
                    </a:blip>
                    <a:srcRect b="13512"/>
                    <a:stretch/>
                  </pic:blipFill>
                  <pic:spPr bwMode="auto">
                    <a:xfrm>
                      <a:off x="0" y="0"/>
                      <a:ext cx="5612130" cy="3260035"/>
                    </a:xfrm>
                    <a:prstGeom prst="rect">
                      <a:avLst/>
                    </a:prstGeom>
                    <a:ln>
                      <a:noFill/>
                    </a:ln>
                    <a:extLst>
                      <a:ext uri="{53640926-AAD7-44D8-BBD7-CCE9431645EC}">
                        <a14:shadowObscured xmlns:a14="http://schemas.microsoft.com/office/drawing/2010/main"/>
                      </a:ext>
                    </a:extLst>
                  </pic:spPr>
                </pic:pic>
              </a:graphicData>
            </a:graphic>
          </wp:inline>
        </w:drawing>
      </w:r>
    </w:p>
    <w:p w14:paraId="43768A07" w14:textId="34C56002" w:rsidR="00CB0DAA" w:rsidRPr="00CB0DAA" w:rsidRDefault="00CB0DAA" w:rsidP="00CB0DAA">
      <w:pPr>
        <w:spacing w:line="360" w:lineRule="auto"/>
        <w:jc w:val="both"/>
        <w:rPr>
          <w:sz w:val="18"/>
          <w:szCs w:val="18"/>
        </w:rPr>
      </w:pPr>
      <w:r w:rsidRPr="00CB0DAA">
        <w:rPr>
          <w:sz w:val="18"/>
          <w:szCs w:val="18"/>
        </w:rPr>
        <w:t>Fuente: Chacón, 2021.</w:t>
      </w:r>
    </w:p>
    <w:p w14:paraId="15F9C316" w14:textId="77777777" w:rsidR="00CB0DAA" w:rsidRDefault="00CB0DAA" w:rsidP="000B4EFE">
      <w:pPr>
        <w:jc w:val="both"/>
      </w:pPr>
    </w:p>
    <w:p w14:paraId="0034699F" w14:textId="5AA9F8EF" w:rsidR="00CB0DAA" w:rsidRDefault="00CB0DAA" w:rsidP="000B4EFE">
      <w:pPr>
        <w:jc w:val="both"/>
      </w:pPr>
      <w:r w:rsidRPr="00CB0DAA">
        <w:t>Posterior a la fase de validación se realiza el proceso de asesoría para el diseño de prototipos</w:t>
      </w:r>
      <w:r w:rsidR="009A6A05">
        <w:t xml:space="preserve"> esto se efectúa en vinculación con el INA (denominado laboratorio)</w:t>
      </w:r>
      <w:r w:rsidRPr="00CB0DAA">
        <w:t>. En este punto se tienen consideraciones sobre los materiales a implementar, el proceso de producción más eficiente y la definición de las dimensiones del producto final.</w:t>
      </w:r>
    </w:p>
    <w:p w14:paraId="7A54D120" w14:textId="77777777" w:rsidR="00C952C6" w:rsidRDefault="00C952C6" w:rsidP="000B4EFE">
      <w:pPr>
        <w:jc w:val="both"/>
      </w:pPr>
    </w:p>
    <w:p w14:paraId="24495189" w14:textId="77777777" w:rsidR="00032444" w:rsidRDefault="00032444" w:rsidP="000B4EFE">
      <w:pPr>
        <w:jc w:val="both"/>
      </w:pPr>
    </w:p>
    <w:p w14:paraId="72ACE608" w14:textId="77777777" w:rsidR="00032444" w:rsidRDefault="00032444" w:rsidP="000B4EFE">
      <w:pPr>
        <w:jc w:val="both"/>
      </w:pPr>
    </w:p>
    <w:p w14:paraId="4FEAB3ED" w14:textId="77777777" w:rsidR="00032444" w:rsidRDefault="00032444" w:rsidP="000B4EFE">
      <w:pPr>
        <w:jc w:val="both"/>
      </w:pPr>
    </w:p>
    <w:p w14:paraId="3E6B00ED" w14:textId="77777777" w:rsidR="00032444" w:rsidRDefault="00032444" w:rsidP="000B4EFE">
      <w:pPr>
        <w:jc w:val="both"/>
      </w:pPr>
    </w:p>
    <w:p w14:paraId="295D1FD4" w14:textId="77777777" w:rsidR="00032444" w:rsidRDefault="00032444" w:rsidP="000B4EFE">
      <w:pPr>
        <w:jc w:val="both"/>
      </w:pPr>
    </w:p>
    <w:p w14:paraId="727BBB63" w14:textId="77777777" w:rsidR="00032444" w:rsidRDefault="00032444" w:rsidP="000B4EFE">
      <w:pPr>
        <w:jc w:val="both"/>
      </w:pPr>
    </w:p>
    <w:p w14:paraId="548DF25F" w14:textId="77777777" w:rsidR="00032444" w:rsidRDefault="00032444" w:rsidP="000B4EFE">
      <w:pPr>
        <w:jc w:val="both"/>
      </w:pPr>
    </w:p>
    <w:p w14:paraId="36D9684A" w14:textId="77777777" w:rsidR="00032444" w:rsidRDefault="00032444" w:rsidP="000B4EFE">
      <w:pPr>
        <w:jc w:val="both"/>
      </w:pPr>
    </w:p>
    <w:p w14:paraId="2A9C46E4" w14:textId="77777777" w:rsidR="00032444" w:rsidRDefault="00032444" w:rsidP="000B4EFE">
      <w:pPr>
        <w:jc w:val="both"/>
      </w:pPr>
    </w:p>
    <w:p w14:paraId="6164BA2D" w14:textId="77777777" w:rsidR="00032444" w:rsidRDefault="00032444" w:rsidP="000B4EFE">
      <w:pPr>
        <w:jc w:val="both"/>
      </w:pPr>
    </w:p>
    <w:p w14:paraId="63FE654B" w14:textId="28E61B8F" w:rsidR="00CB0DAA" w:rsidRPr="009A6A05" w:rsidRDefault="009A6A05" w:rsidP="00CB0DAA">
      <w:pPr>
        <w:jc w:val="both"/>
        <w:rPr>
          <w:b/>
          <w:bCs/>
        </w:rPr>
      </w:pPr>
      <w:r w:rsidRPr="009A6A05">
        <w:rPr>
          <w:b/>
          <w:bCs/>
        </w:rPr>
        <w:lastRenderedPageBreak/>
        <w:t xml:space="preserve">Figura </w:t>
      </w:r>
      <w:r w:rsidRPr="009A6A05">
        <w:rPr>
          <w:b/>
          <w:bCs/>
        </w:rPr>
        <w:fldChar w:fldCharType="begin"/>
      </w:r>
      <w:r w:rsidRPr="009A6A05">
        <w:rPr>
          <w:b/>
          <w:bCs/>
        </w:rPr>
        <w:instrText xml:space="preserve"> SEQ Figura \* ARABIC </w:instrText>
      </w:r>
      <w:r w:rsidRPr="009A6A05">
        <w:rPr>
          <w:b/>
          <w:bCs/>
        </w:rPr>
        <w:fldChar w:fldCharType="separate"/>
      </w:r>
      <w:r>
        <w:rPr>
          <w:b/>
          <w:bCs/>
          <w:noProof/>
        </w:rPr>
        <w:t>10</w:t>
      </w:r>
      <w:r w:rsidRPr="009A6A05">
        <w:rPr>
          <w:b/>
          <w:bCs/>
        </w:rPr>
        <w:fldChar w:fldCharType="end"/>
      </w:r>
      <w:r w:rsidRPr="009A6A05">
        <w:rPr>
          <w:b/>
          <w:bCs/>
        </w:rPr>
        <w:t xml:space="preserve">. </w:t>
      </w:r>
      <w:r w:rsidR="00CB0DAA" w:rsidRPr="009A6A05">
        <w:rPr>
          <w:b/>
          <w:bCs/>
        </w:rPr>
        <w:t>Flujo de procesos: Fase 2 Diseño y desarrollo los prototipos de nuevos productos.</w:t>
      </w:r>
    </w:p>
    <w:p w14:paraId="3180D43A" w14:textId="4EAB7959" w:rsidR="00CB0DAA" w:rsidRDefault="00CB0DAA" w:rsidP="00CB0DAA">
      <w:pPr>
        <w:jc w:val="both"/>
      </w:pPr>
      <w:r>
        <w:t xml:space="preserve"> </w:t>
      </w:r>
      <w:r w:rsidRPr="008E7F64">
        <w:rPr>
          <w:rFonts w:ascii="Times New Roman" w:hAnsi="Times New Roman" w:cs="Times New Roman"/>
          <w:noProof/>
          <w:sz w:val="24"/>
          <w:szCs w:val="24"/>
        </w:rPr>
        <w:drawing>
          <wp:inline distT="0" distB="0" distL="0" distR="0" wp14:anchorId="235B2FE3" wp14:editId="7C48E829">
            <wp:extent cx="5611132" cy="3163762"/>
            <wp:effectExtent l="0" t="0" r="0" b="0"/>
            <wp:docPr id="13" name="Imagen 13"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Diagrama&#10;&#10;Descripción generada automáticamente con confianza media"/>
                    <pic:cNvPicPr/>
                  </pic:nvPicPr>
                  <pic:blipFill rotWithShape="1">
                    <a:blip r:embed="rId40">
                      <a:extLst>
                        <a:ext uri="{28A0092B-C50C-407E-A947-70E740481C1C}">
                          <a14:useLocalDpi xmlns:a14="http://schemas.microsoft.com/office/drawing/2010/main" val="0"/>
                        </a:ext>
                      </a:extLst>
                    </a:blip>
                    <a:srcRect t="2552" b="13043"/>
                    <a:stretch/>
                  </pic:blipFill>
                  <pic:spPr bwMode="auto">
                    <a:xfrm>
                      <a:off x="0" y="0"/>
                      <a:ext cx="5612130" cy="3164325"/>
                    </a:xfrm>
                    <a:prstGeom prst="rect">
                      <a:avLst/>
                    </a:prstGeom>
                    <a:ln>
                      <a:noFill/>
                    </a:ln>
                    <a:extLst>
                      <a:ext uri="{53640926-AAD7-44D8-BBD7-CCE9431645EC}">
                        <a14:shadowObscured xmlns:a14="http://schemas.microsoft.com/office/drawing/2010/main"/>
                      </a:ext>
                    </a:extLst>
                  </pic:spPr>
                </pic:pic>
              </a:graphicData>
            </a:graphic>
          </wp:inline>
        </w:drawing>
      </w:r>
    </w:p>
    <w:p w14:paraId="02524B83" w14:textId="77777777" w:rsidR="009A6A05" w:rsidRPr="00CB0DAA" w:rsidRDefault="009A6A05" w:rsidP="009A6A05">
      <w:pPr>
        <w:spacing w:line="360" w:lineRule="auto"/>
        <w:jc w:val="both"/>
        <w:rPr>
          <w:sz w:val="18"/>
          <w:szCs w:val="18"/>
        </w:rPr>
      </w:pPr>
      <w:r w:rsidRPr="00CB0DAA">
        <w:rPr>
          <w:sz w:val="18"/>
          <w:szCs w:val="18"/>
        </w:rPr>
        <w:t>Fuente: Chacón, 2021.</w:t>
      </w:r>
    </w:p>
    <w:p w14:paraId="40D31DCE" w14:textId="0BAEFE10" w:rsidR="009A6A05" w:rsidRDefault="009A6A05" w:rsidP="009A6A05">
      <w:pPr>
        <w:jc w:val="both"/>
      </w:pPr>
      <w:r>
        <w:t>Para el vínculo con el MEIC y PROCOMER los estudios de mercados serán fundamentales, ya que se vislumbran como herramientas que facilitarán la toma de decisiones. Los usuarios o empresas forestales tendrán la posibilidad de plantear potenciales nichos de mercado y de esta manera validad con prospecciones si es oportuno dar el paso o se requiere mejorar aspectos en diseño o si hubiera rechazo a su producto. Es importante destacar que este proceso ya tendrá un primer acercamiento en el test inicial que deberá adaptar la CFMI para conocer si el proyecto tiene potencial para la implementación, de esta manera no se estaría dando pase directo a la exportación sin conocer previamente el estado de la empresa.</w:t>
      </w:r>
    </w:p>
    <w:p w14:paraId="0C3B56CF" w14:textId="77777777" w:rsidR="009A6A05" w:rsidRDefault="009A6A05" w:rsidP="009A6A05">
      <w:pPr>
        <w:jc w:val="both"/>
      </w:pPr>
    </w:p>
    <w:p w14:paraId="0C58A669" w14:textId="77777777" w:rsidR="009A6A05" w:rsidRDefault="009A6A05" w:rsidP="009A6A05">
      <w:pPr>
        <w:jc w:val="both"/>
      </w:pPr>
    </w:p>
    <w:p w14:paraId="28EAC7A7" w14:textId="77777777" w:rsidR="009A6A05" w:rsidRDefault="009A6A05" w:rsidP="009A6A05">
      <w:pPr>
        <w:jc w:val="both"/>
      </w:pPr>
    </w:p>
    <w:p w14:paraId="39171472" w14:textId="77777777" w:rsidR="009A6A05" w:rsidRPr="009A6A05" w:rsidRDefault="009A6A05" w:rsidP="009A6A05">
      <w:pPr>
        <w:jc w:val="both"/>
      </w:pPr>
    </w:p>
    <w:p w14:paraId="0185B49A" w14:textId="457822D8" w:rsidR="009A6A05" w:rsidRDefault="009A6A05" w:rsidP="009A6A05">
      <w:r w:rsidRPr="009A6A05">
        <w:rPr>
          <w:b/>
          <w:bCs/>
        </w:rPr>
        <w:lastRenderedPageBreak/>
        <w:t xml:space="preserve">Figura </w:t>
      </w:r>
      <w:r w:rsidRPr="009A6A05">
        <w:rPr>
          <w:b/>
          <w:bCs/>
        </w:rPr>
        <w:fldChar w:fldCharType="begin"/>
      </w:r>
      <w:r w:rsidRPr="009A6A05">
        <w:rPr>
          <w:b/>
          <w:bCs/>
        </w:rPr>
        <w:instrText xml:space="preserve"> SEQ Figura \* ARABIC </w:instrText>
      </w:r>
      <w:r w:rsidRPr="009A6A05">
        <w:rPr>
          <w:b/>
          <w:bCs/>
        </w:rPr>
        <w:fldChar w:fldCharType="separate"/>
      </w:r>
      <w:r>
        <w:rPr>
          <w:b/>
          <w:bCs/>
          <w:noProof/>
        </w:rPr>
        <w:t>11</w:t>
      </w:r>
      <w:r w:rsidRPr="009A6A05">
        <w:rPr>
          <w:b/>
          <w:bCs/>
        </w:rPr>
        <w:fldChar w:fldCharType="end"/>
      </w:r>
      <w:r w:rsidRPr="009A6A05">
        <w:rPr>
          <w:b/>
          <w:bCs/>
        </w:rPr>
        <w:t>. Flujo de procesos: Fase 3 Evaluación de mercado y productos.</w:t>
      </w:r>
      <w:r>
        <w:t xml:space="preserve"> </w:t>
      </w:r>
      <w:r w:rsidRPr="008E7F64">
        <w:rPr>
          <w:rFonts w:ascii="Times New Roman" w:hAnsi="Times New Roman" w:cs="Times New Roman"/>
          <w:noProof/>
          <w:sz w:val="24"/>
          <w:szCs w:val="24"/>
        </w:rPr>
        <w:drawing>
          <wp:inline distT="0" distB="0" distL="0" distR="0" wp14:anchorId="0BB976DA" wp14:editId="4A5A71D1">
            <wp:extent cx="5612130" cy="3275330"/>
            <wp:effectExtent l="0" t="0" r="0" b="0"/>
            <wp:docPr id="14" name="Imagen 14"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Interfaz de usuario gráfica&#10;&#10;Descripción generada automáticamente"/>
                    <pic:cNvPicPr/>
                  </pic:nvPicPr>
                  <pic:blipFill rotWithShape="1">
                    <a:blip r:embed="rId41">
                      <a:extLst>
                        <a:ext uri="{28A0092B-C50C-407E-A947-70E740481C1C}">
                          <a14:useLocalDpi xmlns:a14="http://schemas.microsoft.com/office/drawing/2010/main" val="0"/>
                        </a:ext>
                      </a:extLst>
                    </a:blip>
                    <a:srcRect b="12619"/>
                    <a:stretch/>
                  </pic:blipFill>
                  <pic:spPr bwMode="auto">
                    <a:xfrm>
                      <a:off x="0" y="0"/>
                      <a:ext cx="5612130" cy="3275330"/>
                    </a:xfrm>
                    <a:prstGeom prst="rect">
                      <a:avLst/>
                    </a:prstGeom>
                    <a:ln>
                      <a:noFill/>
                    </a:ln>
                    <a:extLst>
                      <a:ext uri="{53640926-AAD7-44D8-BBD7-CCE9431645EC}">
                        <a14:shadowObscured xmlns:a14="http://schemas.microsoft.com/office/drawing/2010/main"/>
                      </a:ext>
                    </a:extLst>
                  </pic:spPr>
                </pic:pic>
              </a:graphicData>
            </a:graphic>
          </wp:inline>
        </w:drawing>
      </w:r>
    </w:p>
    <w:p w14:paraId="4B4E31DA" w14:textId="77777777" w:rsidR="009A6A05" w:rsidRPr="00CB0DAA" w:rsidRDefault="009A6A05" w:rsidP="009A6A05">
      <w:pPr>
        <w:spacing w:line="360" w:lineRule="auto"/>
        <w:jc w:val="both"/>
        <w:rPr>
          <w:sz w:val="18"/>
          <w:szCs w:val="18"/>
        </w:rPr>
      </w:pPr>
      <w:r w:rsidRPr="00CB0DAA">
        <w:rPr>
          <w:sz w:val="18"/>
          <w:szCs w:val="18"/>
        </w:rPr>
        <w:t>Fuente: Chacón, 2021.</w:t>
      </w:r>
    </w:p>
    <w:p w14:paraId="7B35DD31" w14:textId="0CFE6E54" w:rsidR="009A6A05" w:rsidRDefault="009A6A05" w:rsidP="009A6A05">
      <w:pPr>
        <w:jc w:val="both"/>
      </w:pPr>
      <w:r>
        <w:t xml:space="preserve">Esta fase permite una reducción importante de los riesgos, pues permite que las potenciales empresas prueben el mercado antes de dar el salto a la venta en el mercado local o internacional. Lograr esta integración para el desarrollo de negocios es fundamental para que se minimice el número de ideas de productos que no alcanzan la fase </w:t>
      </w:r>
      <w:r w:rsidR="00C952C6">
        <w:t>de consolidación empresarial</w:t>
      </w:r>
      <w:r>
        <w:t xml:space="preserve">.  </w:t>
      </w:r>
    </w:p>
    <w:p w14:paraId="5C738B59" w14:textId="2C251B5B" w:rsidR="009A6A05" w:rsidRDefault="009A6A05" w:rsidP="009A6A05">
      <w:pPr>
        <w:jc w:val="both"/>
      </w:pPr>
      <w:r>
        <w:t>Para la fase 4 (</w:t>
      </w:r>
      <w:r w:rsidR="00C952C6">
        <w:t>figura 12</w:t>
      </w:r>
      <w:r>
        <w:t xml:space="preserve">) </w:t>
      </w:r>
      <w:r w:rsidR="00C952C6">
        <w:t xml:space="preserve">se realiza una recomendación de los rubros o proceso interno que debe considerar la empresa (Chacón, 2021), para ello </w:t>
      </w:r>
      <w:r>
        <w:t>es relevante tener en consideración los insumos de las fases anteriores, pues los parámetros definidos permitirán que se determinen los costos, gastos y potenciales ingresos. Así mismo esta etapa tendrá el respaldo de los indicadores de rentabilidad, para así determinar si se puede ejecutar o no el proyecto</w:t>
      </w:r>
      <w:r w:rsidR="00C952C6">
        <w:t>, en esta etapa la empresa valida de manera independiente su estudio financiero</w:t>
      </w:r>
      <w:r>
        <w:t xml:space="preserve">. </w:t>
      </w:r>
    </w:p>
    <w:p w14:paraId="2CDBBA97" w14:textId="77777777" w:rsidR="00C952C6" w:rsidRDefault="00C952C6" w:rsidP="009A6A05">
      <w:pPr>
        <w:jc w:val="both"/>
      </w:pPr>
    </w:p>
    <w:p w14:paraId="6D8E6D6B" w14:textId="77777777" w:rsidR="00C952C6" w:rsidRDefault="00C952C6" w:rsidP="009A6A05">
      <w:pPr>
        <w:jc w:val="both"/>
      </w:pPr>
    </w:p>
    <w:p w14:paraId="3EE8CB22" w14:textId="77777777" w:rsidR="00C952C6" w:rsidRDefault="00C952C6" w:rsidP="009A6A05">
      <w:pPr>
        <w:jc w:val="both"/>
      </w:pPr>
    </w:p>
    <w:p w14:paraId="53A40588" w14:textId="77777777" w:rsidR="00C952C6" w:rsidRDefault="00C952C6" w:rsidP="009A6A05">
      <w:pPr>
        <w:jc w:val="both"/>
      </w:pPr>
    </w:p>
    <w:p w14:paraId="62E8041E" w14:textId="77777777" w:rsidR="00C952C6" w:rsidRDefault="00C952C6" w:rsidP="009A6A05">
      <w:pPr>
        <w:jc w:val="both"/>
      </w:pPr>
    </w:p>
    <w:p w14:paraId="7623381C" w14:textId="77777777" w:rsidR="00C952C6" w:rsidRDefault="00C952C6" w:rsidP="009A6A05">
      <w:pPr>
        <w:jc w:val="both"/>
      </w:pPr>
    </w:p>
    <w:p w14:paraId="055E324D" w14:textId="77777777" w:rsidR="00C952C6" w:rsidRDefault="00C952C6" w:rsidP="009A6A05">
      <w:pPr>
        <w:jc w:val="both"/>
      </w:pPr>
    </w:p>
    <w:p w14:paraId="1CC24DFA" w14:textId="77777777" w:rsidR="00C952C6" w:rsidRDefault="00C952C6" w:rsidP="009A6A05">
      <w:pPr>
        <w:jc w:val="both"/>
      </w:pPr>
    </w:p>
    <w:p w14:paraId="71C2E8FF" w14:textId="2477050B" w:rsidR="009A6A05" w:rsidRDefault="009A6A05" w:rsidP="009A6A05">
      <w:pPr>
        <w:jc w:val="both"/>
      </w:pPr>
      <w:r w:rsidRPr="009A6A05">
        <w:rPr>
          <w:b/>
          <w:bCs/>
        </w:rPr>
        <w:lastRenderedPageBreak/>
        <w:t xml:space="preserve">Figura </w:t>
      </w:r>
      <w:r w:rsidRPr="009A6A05">
        <w:rPr>
          <w:b/>
          <w:bCs/>
        </w:rPr>
        <w:fldChar w:fldCharType="begin"/>
      </w:r>
      <w:r w:rsidRPr="009A6A05">
        <w:rPr>
          <w:b/>
          <w:bCs/>
        </w:rPr>
        <w:instrText xml:space="preserve"> SEQ Figura \* ARABIC </w:instrText>
      </w:r>
      <w:r w:rsidRPr="009A6A05">
        <w:rPr>
          <w:b/>
          <w:bCs/>
        </w:rPr>
        <w:fldChar w:fldCharType="separate"/>
      </w:r>
      <w:r>
        <w:rPr>
          <w:b/>
          <w:bCs/>
          <w:noProof/>
        </w:rPr>
        <w:t>12</w:t>
      </w:r>
      <w:r w:rsidRPr="009A6A05">
        <w:rPr>
          <w:b/>
          <w:bCs/>
        </w:rPr>
        <w:fldChar w:fldCharType="end"/>
      </w:r>
      <w:r w:rsidRPr="009A6A05">
        <w:rPr>
          <w:b/>
          <w:bCs/>
        </w:rPr>
        <w:t xml:space="preserve">. </w:t>
      </w:r>
      <w:r>
        <w:t>Flujo de procesos: Fase 4 Validación financiera del desarrollo de los nuevos productos.</w:t>
      </w:r>
    </w:p>
    <w:p w14:paraId="5D7171CD" w14:textId="70698DD2" w:rsidR="009A6A05" w:rsidRDefault="009A6A05" w:rsidP="009A6A05">
      <w:r>
        <w:t xml:space="preserve"> </w:t>
      </w:r>
      <w:r w:rsidRPr="006C483E">
        <w:rPr>
          <w:rFonts w:ascii="Times New Roman" w:hAnsi="Times New Roman" w:cs="Times New Roman"/>
          <w:noProof/>
          <w:sz w:val="20"/>
          <w:szCs w:val="20"/>
        </w:rPr>
        <w:drawing>
          <wp:inline distT="0" distB="0" distL="0" distR="0" wp14:anchorId="1C729792" wp14:editId="3FB0B3A4">
            <wp:extent cx="5612130" cy="3307715"/>
            <wp:effectExtent l="0" t="0" r="0" b="0"/>
            <wp:docPr id="16" name="Imagen 16" descr="Una captura de pantalla de un celular con texto e imagen&#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Una captura de pantalla de un celular con texto e imagen&#10;&#10;Descripción generada automáticamente con confianza media"/>
                    <pic:cNvPicPr/>
                  </pic:nvPicPr>
                  <pic:blipFill rotWithShape="1">
                    <a:blip r:embed="rId42">
                      <a:extLst>
                        <a:ext uri="{28A0092B-C50C-407E-A947-70E740481C1C}">
                          <a14:useLocalDpi xmlns:a14="http://schemas.microsoft.com/office/drawing/2010/main" val="0"/>
                        </a:ext>
                      </a:extLst>
                    </a:blip>
                    <a:srcRect b="11771"/>
                    <a:stretch/>
                  </pic:blipFill>
                  <pic:spPr bwMode="auto">
                    <a:xfrm>
                      <a:off x="0" y="0"/>
                      <a:ext cx="5612130" cy="3307715"/>
                    </a:xfrm>
                    <a:prstGeom prst="rect">
                      <a:avLst/>
                    </a:prstGeom>
                    <a:ln>
                      <a:noFill/>
                    </a:ln>
                    <a:extLst>
                      <a:ext uri="{53640926-AAD7-44D8-BBD7-CCE9431645EC}">
                        <a14:shadowObscured xmlns:a14="http://schemas.microsoft.com/office/drawing/2010/main"/>
                      </a:ext>
                    </a:extLst>
                  </pic:spPr>
                </pic:pic>
              </a:graphicData>
            </a:graphic>
          </wp:inline>
        </w:drawing>
      </w:r>
    </w:p>
    <w:p w14:paraId="11DB6778" w14:textId="77777777" w:rsidR="009A6A05" w:rsidRPr="00CB0DAA" w:rsidRDefault="009A6A05" w:rsidP="009A6A05">
      <w:pPr>
        <w:spacing w:line="360" w:lineRule="auto"/>
        <w:jc w:val="both"/>
        <w:rPr>
          <w:sz w:val="18"/>
          <w:szCs w:val="18"/>
        </w:rPr>
      </w:pPr>
      <w:r w:rsidRPr="00CB0DAA">
        <w:rPr>
          <w:sz w:val="18"/>
          <w:szCs w:val="18"/>
        </w:rPr>
        <w:t>Fuente: Chacón, 2021.</w:t>
      </w:r>
    </w:p>
    <w:p w14:paraId="5E53AA76" w14:textId="04B3ECDD" w:rsidR="00CB0DAA" w:rsidRDefault="009A6A05" w:rsidP="009A6A05">
      <w:pPr>
        <w:jc w:val="both"/>
      </w:pPr>
      <w:r>
        <w:t xml:space="preserve">Las fases 3 y 4 </w:t>
      </w:r>
      <w:r w:rsidR="00C952C6">
        <w:t>pueden ser asesoradas por al CFMI, sin embargo, son procesos propios de la empresa</w:t>
      </w:r>
      <w:r>
        <w:t>, teniendo metas de cumplimiento para que cada una de las iniciativas logre un proceso sin cuellos de botella. Para lograr que el proceso cuente con fluidez en los procesos es necesario tener una fuente de contactos de potenciales proveedores, pues una de las principales limitantes es la disponibilidad de maderas con las características requeridas para cada producto.</w:t>
      </w:r>
    </w:p>
    <w:p w14:paraId="0620B02A" w14:textId="77777777" w:rsidR="009A6A05" w:rsidRDefault="009A6A05" w:rsidP="00CB0DAA">
      <w:pPr>
        <w:jc w:val="both"/>
      </w:pPr>
    </w:p>
    <w:p w14:paraId="47545AED" w14:textId="77777777" w:rsidR="00C952C6" w:rsidRDefault="00C952C6" w:rsidP="00CB0DAA">
      <w:pPr>
        <w:jc w:val="both"/>
      </w:pPr>
    </w:p>
    <w:p w14:paraId="179C1798" w14:textId="77777777" w:rsidR="00C952C6" w:rsidRDefault="00C952C6" w:rsidP="00CB0DAA">
      <w:pPr>
        <w:jc w:val="both"/>
      </w:pPr>
    </w:p>
    <w:p w14:paraId="2D3C61FB" w14:textId="77777777" w:rsidR="00C952C6" w:rsidRDefault="00C952C6" w:rsidP="00CB0DAA">
      <w:pPr>
        <w:jc w:val="both"/>
      </w:pPr>
    </w:p>
    <w:p w14:paraId="6ECA961A" w14:textId="77777777" w:rsidR="00C952C6" w:rsidRDefault="00C952C6" w:rsidP="00CB0DAA">
      <w:pPr>
        <w:jc w:val="both"/>
      </w:pPr>
    </w:p>
    <w:p w14:paraId="68E6E218" w14:textId="77777777" w:rsidR="00C952C6" w:rsidRDefault="00C952C6" w:rsidP="00CB0DAA">
      <w:pPr>
        <w:jc w:val="both"/>
      </w:pPr>
    </w:p>
    <w:p w14:paraId="528D8B95" w14:textId="77777777" w:rsidR="00C952C6" w:rsidRDefault="00C952C6" w:rsidP="00CB0DAA">
      <w:pPr>
        <w:jc w:val="both"/>
      </w:pPr>
    </w:p>
    <w:p w14:paraId="39454B47" w14:textId="77777777" w:rsidR="00C952C6" w:rsidRDefault="00C952C6" w:rsidP="00CB0DAA">
      <w:pPr>
        <w:jc w:val="both"/>
      </w:pPr>
    </w:p>
    <w:p w14:paraId="04362233" w14:textId="77777777" w:rsidR="00C952C6" w:rsidRDefault="00C952C6" w:rsidP="00CB0DAA">
      <w:pPr>
        <w:jc w:val="both"/>
      </w:pPr>
    </w:p>
    <w:p w14:paraId="1A6C1E6B" w14:textId="77777777" w:rsidR="00C952C6" w:rsidRDefault="00C952C6" w:rsidP="00CB0DAA">
      <w:pPr>
        <w:jc w:val="both"/>
      </w:pPr>
    </w:p>
    <w:p w14:paraId="780085D9" w14:textId="79C43584" w:rsidR="00F67F58" w:rsidRPr="00F67F58" w:rsidRDefault="00F67F58" w:rsidP="00B63648">
      <w:pPr>
        <w:pStyle w:val="Ttulo1"/>
        <w:numPr>
          <w:ilvl w:val="0"/>
          <w:numId w:val="5"/>
        </w:numPr>
        <w:rPr>
          <w:rFonts w:eastAsia="Calibri"/>
        </w:rPr>
      </w:pPr>
      <w:bookmarkStart w:id="31" w:name="_Toc159442600"/>
      <w:r w:rsidRPr="00F67F58">
        <w:rPr>
          <w:rFonts w:eastAsia="Calibri"/>
        </w:rPr>
        <w:lastRenderedPageBreak/>
        <w:t>Conclusiones</w:t>
      </w:r>
      <w:bookmarkEnd w:id="31"/>
    </w:p>
    <w:p w14:paraId="51845BC3" w14:textId="77777777" w:rsidR="00F67F58" w:rsidRDefault="00F67F58" w:rsidP="000F3EA2">
      <w:pPr>
        <w:jc w:val="both"/>
      </w:pPr>
    </w:p>
    <w:p w14:paraId="6A9B7945" w14:textId="7DBF19A0" w:rsidR="00C952C6" w:rsidRDefault="00DD3C93" w:rsidP="000F3EA2">
      <w:pPr>
        <w:jc w:val="both"/>
      </w:pPr>
      <w:r>
        <w:t>Resulta fundamental conocer la estructura organizacional de los ministerios (MEIC y COMEX) así como sus dependencias para que las hojas de ruta que se espera consolidar consideren todos los aspectos clave para que la estrategia de mercadeo y los beneficios sea exitosos y aplicables.</w:t>
      </w:r>
    </w:p>
    <w:p w14:paraId="6A972D1B" w14:textId="2461EE50" w:rsidR="00DD3C93" w:rsidRDefault="00DD3C93" w:rsidP="000F3EA2">
      <w:pPr>
        <w:jc w:val="both"/>
      </w:pPr>
      <w:r>
        <w:t xml:space="preserve">Existen en el país múltiples estrategias y políticas que pueden beneficiar al sector forestal, principalmente a las empresas forestales, </w:t>
      </w:r>
      <w:r w:rsidR="00B63648">
        <w:t>por lo que</w:t>
      </w:r>
      <w:r w:rsidR="007600B7">
        <w:t xml:space="preserve"> la articulación sectorial con otros ministerios y áreas de la planificación del país es fundamental para la reactivación y consolidación de la cadena de valor de productos maderables.</w:t>
      </w:r>
    </w:p>
    <w:p w14:paraId="6CD9E5DB" w14:textId="2E92C524" w:rsidR="007600B7" w:rsidRDefault="007600B7" w:rsidP="000F3EA2">
      <w:pPr>
        <w:jc w:val="both"/>
      </w:pPr>
      <w:r>
        <w:t xml:space="preserve">Las hojas de ruta con el MEIC y PROCOMER permitirán la sostenibilidad de los resultados de los productos 1, 2 y 3 de este proyecto, permitiendo que existan alternativas comerciales que aumenten el valor del bosque secundario, destacando </w:t>
      </w:r>
      <w:r w:rsidR="00B63648">
        <w:t>los beneficios sociales, económicos y ambientales del manejo forestal sostenible.</w:t>
      </w:r>
    </w:p>
    <w:p w14:paraId="32BE4B60" w14:textId="77777777" w:rsidR="00B63648" w:rsidRDefault="00B63648" w:rsidP="00B63648">
      <w:pPr>
        <w:jc w:val="both"/>
      </w:pPr>
      <w:r>
        <w:t>Desde la visión de economía circular de cero desperdicios, es importante contemplar lo productos asociados no maderables y subproductos, así como el potencial local para valor agregado.</w:t>
      </w:r>
    </w:p>
    <w:p w14:paraId="4627EE46" w14:textId="51B3E6CC" w:rsidR="00A4734E" w:rsidRDefault="00A4734E" w:rsidP="00B63648">
      <w:pPr>
        <w:jc w:val="both"/>
      </w:pPr>
      <w:r>
        <w:t xml:space="preserve">Los productos forestales de Costa Rica deben divulgar su historia social, participación de pequeños productores y la sostenibilidad de </w:t>
      </w:r>
      <w:r w:rsidR="00E63748">
        <w:t>estos</w:t>
      </w:r>
      <w:r>
        <w:t xml:space="preserve"> al provenir de bosques bajo manejo, respetando la imagen de país “verde” que tiene el país.</w:t>
      </w:r>
      <w:r w:rsidR="000C4C00">
        <w:t xml:space="preserve">  </w:t>
      </w:r>
    </w:p>
    <w:p w14:paraId="28132075" w14:textId="067106BB" w:rsidR="00E63748" w:rsidRDefault="00E63748" w:rsidP="00B63648">
      <w:pPr>
        <w:jc w:val="both"/>
      </w:pPr>
      <w:r w:rsidRPr="00E63748">
        <w:t>Las propuestas de hojas de ruta planteadas para trabajo en conjunto con el MEIC y PROCOMER van a asegurar en el tiempo la sinergia entre CFMI y estas instituciones. Se destaca que ambas instituciones consideraron que estas herramientas son indispensables para los alcances planteados en el sector forestal de Costa Rica</w:t>
      </w:r>
      <w:r>
        <w:t>.</w:t>
      </w:r>
    </w:p>
    <w:p w14:paraId="284559E5" w14:textId="77777777" w:rsidR="00C952C6" w:rsidRDefault="00C952C6" w:rsidP="000F3EA2">
      <w:pPr>
        <w:jc w:val="both"/>
      </w:pPr>
    </w:p>
    <w:p w14:paraId="2EC6DD9D" w14:textId="77777777" w:rsidR="00C952C6" w:rsidRDefault="00C952C6" w:rsidP="000F3EA2">
      <w:pPr>
        <w:jc w:val="both"/>
      </w:pPr>
    </w:p>
    <w:p w14:paraId="4845D256" w14:textId="77777777" w:rsidR="00C952C6" w:rsidRDefault="00C952C6" w:rsidP="000F3EA2">
      <w:pPr>
        <w:jc w:val="both"/>
      </w:pPr>
    </w:p>
    <w:p w14:paraId="3EFD1AAC" w14:textId="77777777" w:rsidR="00C952C6" w:rsidRDefault="00C952C6" w:rsidP="000F3EA2">
      <w:pPr>
        <w:jc w:val="both"/>
      </w:pPr>
    </w:p>
    <w:p w14:paraId="68CA42F9" w14:textId="77777777" w:rsidR="00C952C6" w:rsidRDefault="00C952C6" w:rsidP="000F3EA2">
      <w:pPr>
        <w:jc w:val="both"/>
      </w:pPr>
    </w:p>
    <w:p w14:paraId="7A1A4E0A" w14:textId="77777777" w:rsidR="00B63648" w:rsidRDefault="00B63648" w:rsidP="000F3EA2">
      <w:pPr>
        <w:jc w:val="both"/>
      </w:pPr>
    </w:p>
    <w:p w14:paraId="0F43CA0D" w14:textId="77777777" w:rsidR="00B63648" w:rsidRDefault="00B63648" w:rsidP="000F3EA2">
      <w:pPr>
        <w:jc w:val="both"/>
      </w:pPr>
    </w:p>
    <w:p w14:paraId="5BD36DC6" w14:textId="77777777" w:rsidR="00B63648" w:rsidRDefault="00B63648" w:rsidP="000F3EA2">
      <w:pPr>
        <w:jc w:val="both"/>
      </w:pPr>
    </w:p>
    <w:p w14:paraId="4ED10659" w14:textId="77777777" w:rsidR="00B63648" w:rsidRDefault="00B63648" w:rsidP="000F3EA2">
      <w:pPr>
        <w:jc w:val="both"/>
      </w:pPr>
    </w:p>
    <w:p w14:paraId="041D3157" w14:textId="77777777" w:rsidR="00B63648" w:rsidRDefault="00B63648" w:rsidP="000F3EA2">
      <w:pPr>
        <w:jc w:val="both"/>
      </w:pPr>
    </w:p>
    <w:p w14:paraId="1EC65FD3" w14:textId="77777777" w:rsidR="00B63648" w:rsidRDefault="00B63648" w:rsidP="000F3EA2">
      <w:pPr>
        <w:jc w:val="both"/>
      </w:pPr>
    </w:p>
    <w:p w14:paraId="0863FDA9" w14:textId="77777777" w:rsidR="00B63648" w:rsidRDefault="00B63648" w:rsidP="000F3EA2">
      <w:pPr>
        <w:jc w:val="both"/>
      </w:pPr>
    </w:p>
    <w:p w14:paraId="56B150D0" w14:textId="439DA184" w:rsidR="00F67F58" w:rsidRPr="00F67F58" w:rsidRDefault="00F67F58" w:rsidP="00B63648">
      <w:pPr>
        <w:pStyle w:val="Ttulo1"/>
        <w:numPr>
          <w:ilvl w:val="0"/>
          <w:numId w:val="5"/>
        </w:numPr>
        <w:rPr>
          <w:rFonts w:eastAsia="Calibri"/>
        </w:rPr>
      </w:pPr>
      <w:bookmarkStart w:id="32" w:name="_Toc159442601"/>
      <w:r w:rsidRPr="00F67F58">
        <w:rPr>
          <w:rFonts w:eastAsia="Calibri"/>
        </w:rPr>
        <w:lastRenderedPageBreak/>
        <w:t>Recomendaciones</w:t>
      </w:r>
      <w:bookmarkEnd w:id="32"/>
    </w:p>
    <w:p w14:paraId="4943E324" w14:textId="77777777" w:rsidR="00B63648" w:rsidRDefault="00B63648" w:rsidP="00360A1C">
      <w:pPr>
        <w:jc w:val="both"/>
      </w:pPr>
    </w:p>
    <w:p w14:paraId="33DBFA04" w14:textId="7F06F723" w:rsidR="00360A1C" w:rsidRDefault="00360A1C" w:rsidP="00360A1C">
      <w:pPr>
        <w:jc w:val="both"/>
      </w:pPr>
      <w:r>
        <w:t>Es necesario elaborar una hoja de ruta que contemple la fortalezas y debilidades actuales del mercado de la madera, la definición del público meta y los mercados, donde se recomienda priorizar el mercado nacional, hasta tanto se tenga claridad sobre el tema fitosanitario en el país de destino.</w:t>
      </w:r>
    </w:p>
    <w:p w14:paraId="191345E5" w14:textId="298D7495" w:rsidR="00360A1C" w:rsidRDefault="00360A1C" w:rsidP="00B63648">
      <w:pPr>
        <w:jc w:val="both"/>
      </w:pPr>
      <w:r>
        <w:t>Se deben definir los eventos y alianzas tanto para el tema promocional</w:t>
      </w:r>
      <w:r w:rsidR="00B63648">
        <w:t>,</w:t>
      </w:r>
      <w:r>
        <w:t xml:space="preserve"> como de mercado y comercialización. </w:t>
      </w:r>
    </w:p>
    <w:p w14:paraId="136D1EE3" w14:textId="77777777" w:rsidR="00360A1C" w:rsidRDefault="00360A1C" w:rsidP="00360A1C">
      <w:pPr>
        <w:jc w:val="both"/>
      </w:pPr>
      <w:r>
        <w:t xml:space="preserve">Desde una visión transdisciplinaria e interdisciplinaria se recomienda una mayor vinculación con la academia que puede aportar en los estudios necesarios para el sello verde de reservorio de carbono en los productos de madera y de instancias como el INA para la capacitación y fortalecimiento de capacidades locales con miras a la vinculación de las comunidades en la cadena de valor. </w:t>
      </w:r>
    </w:p>
    <w:p w14:paraId="5C46A2E2" w14:textId="77777777" w:rsidR="00360A1C" w:rsidRDefault="00360A1C" w:rsidP="00360A1C">
      <w:pPr>
        <w:jc w:val="both"/>
      </w:pPr>
      <w:r>
        <w:t>Es importante avanzar en la trazabilidad de los productos de base forestal mediante certificación, tanto del bosque como de los productos de base forestal.</w:t>
      </w:r>
    </w:p>
    <w:p w14:paraId="1CE3AFB1" w14:textId="7238A046" w:rsidR="00360A1C" w:rsidRDefault="00360A1C" w:rsidP="00360A1C">
      <w:pPr>
        <w:jc w:val="both"/>
      </w:pPr>
      <w:r>
        <w:t xml:space="preserve">Se recomienda trabajar en la estrategia </w:t>
      </w:r>
      <w:r w:rsidR="00B63648">
        <w:t xml:space="preserve">y política </w:t>
      </w:r>
      <w:r>
        <w:t xml:space="preserve">nacional forestal como marco para la implementación de las acciones necesarias para el éxito del proyecto. </w:t>
      </w:r>
    </w:p>
    <w:p w14:paraId="65D7C8E1" w14:textId="5E8A15C7" w:rsidR="00360A1C" w:rsidRDefault="00B63648" w:rsidP="00360A1C">
      <w:pPr>
        <w:jc w:val="both"/>
      </w:pPr>
      <w:r>
        <w:t>Es importante considerar los PNM, como por ejemplo</w:t>
      </w:r>
      <w:r w:rsidR="00360A1C">
        <w:t xml:space="preserve"> el uso de fibras celulósicas para textiles y resinas para productos químicos, así como los usos medicinales, aceites esenciales de las cortezas de las especies identificadas del bosque secundario. Además de considerar los desperdicios de aserraderos y corta para la industria del papel, celulosa, etc</w:t>
      </w:r>
    </w:p>
    <w:p w14:paraId="224246B1" w14:textId="77777777" w:rsidR="00360A1C" w:rsidRDefault="00360A1C" w:rsidP="00360A1C">
      <w:pPr>
        <w:jc w:val="both"/>
      </w:pPr>
      <w:r>
        <w:t>Es importante incluir en planes de negocios, proyectos y evaluaciones el concepto de economía circular para su implementación.</w:t>
      </w:r>
    </w:p>
    <w:p w14:paraId="69A041C1" w14:textId="639EBDCE" w:rsidR="002B1105" w:rsidRDefault="00360A1C" w:rsidP="00360A1C">
      <w:pPr>
        <w:jc w:val="both"/>
      </w:pPr>
      <w:r>
        <w:t>Es necesaria una segunda fase del proyecto donde se plantee entre otras cosas la implementación de la estrategia de mercadeo y comercialización.</w:t>
      </w:r>
    </w:p>
    <w:p w14:paraId="60BF3339" w14:textId="77777777" w:rsidR="00360A1C" w:rsidRDefault="00360A1C" w:rsidP="00360A1C">
      <w:pPr>
        <w:jc w:val="both"/>
      </w:pPr>
    </w:p>
    <w:p w14:paraId="5ED837B9" w14:textId="242A7771" w:rsidR="00F67F58" w:rsidRPr="00F67F58" w:rsidRDefault="00F67F58" w:rsidP="00B63648">
      <w:pPr>
        <w:pStyle w:val="Ttulo1"/>
        <w:numPr>
          <w:ilvl w:val="0"/>
          <w:numId w:val="5"/>
        </w:numPr>
        <w:rPr>
          <w:rFonts w:eastAsia="Calibri"/>
        </w:rPr>
      </w:pPr>
      <w:bookmarkStart w:id="33" w:name="_Toc159442602"/>
      <w:r w:rsidRPr="00F67F58">
        <w:rPr>
          <w:rFonts w:eastAsia="Calibri"/>
        </w:rPr>
        <w:t>Repercusiones en la práctica</w:t>
      </w:r>
      <w:bookmarkEnd w:id="33"/>
    </w:p>
    <w:p w14:paraId="2B03EFB4" w14:textId="77777777" w:rsidR="00360A1C" w:rsidRDefault="00360A1C" w:rsidP="00360A1C">
      <w:pPr>
        <w:jc w:val="both"/>
      </w:pPr>
    </w:p>
    <w:p w14:paraId="6E3FF8E5" w14:textId="0B5A8744" w:rsidR="00360A1C" w:rsidRDefault="00360A1C" w:rsidP="00360A1C">
      <w:pPr>
        <w:jc w:val="both"/>
      </w:pPr>
      <w:r>
        <w:t xml:space="preserve">Usos de la madera tradicionales tarimas, construcción y muebles. </w:t>
      </w:r>
    </w:p>
    <w:p w14:paraId="273C61FA" w14:textId="77777777" w:rsidR="00360A1C" w:rsidRDefault="00360A1C" w:rsidP="00360A1C">
      <w:pPr>
        <w:jc w:val="both"/>
      </w:pPr>
      <w:r>
        <w:t>Educación ambiental, educar en cuanto al manejo de bosques secundarios ya que a nivel país se tiene una visión muy conservacionista del bosque, y no del manejo sostenible que se le puede dar.</w:t>
      </w:r>
    </w:p>
    <w:p w14:paraId="5287862A" w14:textId="77777777" w:rsidR="00360A1C" w:rsidRDefault="00360A1C" w:rsidP="00360A1C">
      <w:pPr>
        <w:jc w:val="both"/>
      </w:pPr>
      <w:r>
        <w:t>Estrategia forestal que venció en el 2020 y no ha sido actualizada.</w:t>
      </w:r>
    </w:p>
    <w:p w14:paraId="24492280" w14:textId="3432EB00" w:rsidR="00F67F58" w:rsidRDefault="00360A1C" w:rsidP="00360A1C">
      <w:pPr>
        <w:jc w:val="both"/>
      </w:pPr>
      <w:r>
        <w:t>La burocracia institucional para la solicitud de documentos, se necesitan hacer alianzas con los otros actores involucrados. Para plantear el proyecto a nivel país y no haya cuellos de botella en el proceso.</w:t>
      </w:r>
    </w:p>
    <w:p w14:paraId="14D1F8A2" w14:textId="77777777" w:rsidR="00621777" w:rsidRDefault="00621777" w:rsidP="000F3EA2">
      <w:pPr>
        <w:jc w:val="both"/>
      </w:pPr>
    </w:p>
    <w:p w14:paraId="1AFDE81E" w14:textId="77777777" w:rsidR="00360A1C" w:rsidRDefault="00360A1C" w:rsidP="000F3EA2">
      <w:pPr>
        <w:jc w:val="both"/>
      </w:pPr>
    </w:p>
    <w:p w14:paraId="49632DB2" w14:textId="509D9B1E" w:rsidR="000F3EA2" w:rsidRDefault="000F3EA2" w:rsidP="00B63648">
      <w:pPr>
        <w:pStyle w:val="Ttulo1"/>
        <w:numPr>
          <w:ilvl w:val="0"/>
          <w:numId w:val="5"/>
        </w:numPr>
        <w:rPr>
          <w:rFonts w:eastAsia="Calibri"/>
        </w:rPr>
      </w:pPr>
      <w:bookmarkStart w:id="34" w:name="_Toc159442603"/>
      <w:r>
        <w:rPr>
          <w:rFonts w:eastAsia="Calibri"/>
        </w:rPr>
        <w:lastRenderedPageBreak/>
        <w:t>Anexos</w:t>
      </w:r>
      <w:bookmarkEnd w:id="34"/>
    </w:p>
    <w:p w14:paraId="02F187A1" w14:textId="77777777" w:rsidR="000F3EA2" w:rsidRDefault="000F3EA2" w:rsidP="000F3EA2">
      <w:pPr>
        <w:jc w:val="both"/>
      </w:pPr>
    </w:p>
    <w:p w14:paraId="3C184662" w14:textId="0D6D5215" w:rsidR="000F3EA2" w:rsidRPr="0044099A" w:rsidRDefault="000F3EA2" w:rsidP="000F3EA2">
      <w:pPr>
        <w:pStyle w:val="Descripcin"/>
        <w:rPr>
          <w:color w:val="auto"/>
        </w:rPr>
      </w:pPr>
      <w:r w:rsidRPr="0044099A">
        <w:rPr>
          <w:color w:val="auto"/>
        </w:rPr>
        <w:t xml:space="preserve">Anexo </w:t>
      </w:r>
      <w:r w:rsidRPr="0044099A">
        <w:rPr>
          <w:color w:val="auto"/>
        </w:rPr>
        <w:fldChar w:fldCharType="begin"/>
      </w:r>
      <w:r w:rsidRPr="0044099A">
        <w:rPr>
          <w:color w:val="auto"/>
        </w:rPr>
        <w:instrText xml:space="preserve"> SEQ Anexo \* ARABIC </w:instrText>
      </w:r>
      <w:r w:rsidRPr="0044099A">
        <w:rPr>
          <w:color w:val="auto"/>
        </w:rPr>
        <w:fldChar w:fldCharType="separate"/>
      </w:r>
      <w:r w:rsidRPr="0044099A">
        <w:rPr>
          <w:noProof/>
          <w:color w:val="auto"/>
        </w:rPr>
        <w:t>1</w:t>
      </w:r>
      <w:r w:rsidRPr="0044099A">
        <w:rPr>
          <w:color w:val="auto"/>
        </w:rPr>
        <w:fldChar w:fldCharType="end"/>
      </w:r>
      <w:r w:rsidRPr="0044099A">
        <w:rPr>
          <w:color w:val="auto"/>
        </w:rPr>
        <w:t xml:space="preserve">. Organigrama </w:t>
      </w:r>
      <w:r w:rsidR="0044099A" w:rsidRPr="0044099A">
        <w:rPr>
          <w:color w:val="auto"/>
        </w:rPr>
        <w:t>del Ministerio de Economía, Industria y Comercio, 2024.</w:t>
      </w:r>
    </w:p>
    <w:p w14:paraId="570D34F0" w14:textId="0CD27E5C" w:rsidR="000F3EA2" w:rsidRDefault="000F3EA2" w:rsidP="00AB537F">
      <w:pPr>
        <w:jc w:val="both"/>
      </w:pPr>
      <w:r>
        <w:rPr>
          <w:noProof/>
          <w14:ligatures w14:val="standardContextual"/>
        </w:rPr>
        <w:drawing>
          <wp:inline distT="0" distB="0" distL="0" distR="0" wp14:anchorId="02463D35" wp14:editId="0B018AF4">
            <wp:extent cx="5612130" cy="4336415"/>
            <wp:effectExtent l="0" t="0" r="7620" b="6985"/>
            <wp:docPr id="1211147501"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147501" name="Imagen 1" descr="Tabla&#10;&#10;Descripción generada automáticament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612130" cy="4336415"/>
                    </a:xfrm>
                    <a:prstGeom prst="rect">
                      <a:avLst/>
                    </a:prstGeom>
                  </pic:spPr>
                </pic:pic>
              </a:graphicData>
            </a:graphic>
          </wp:inline>
        </w:drawing>
      </w:r>
    </w:p>
    <w:p w14:paraId="69C90180" w14:textId="77777777" w:rsidR="004970AD" w:rsidRDefault="004970AD" w:rsidP="00AB537F">
      <w:pPr>
        <w:jc w:val="both"/>
        <w:rPr>
          <w:sz w:val="18"/>
          <w:szCs w:val="18"/>
        </w:rPr>
      </w:pPr>
      <w:r w:rsidRPr="004970AD">
        <w:rPr>
          <w:sz w:val="18"/>
          <w:szCs w:val="18"/>
        </w:rPr>
        <w:t xml:space="preserve">Fuente: </w:t>
      </w:r>
      <w:hyperlink r:id="rId44" w:history="1">
        <w:r w:rsidRPr="00B10B0E">
          <w:rPr>
            <w:rStyle w:val="Hipervnculo"/>
            <w:sz w:val="18"/>
            <w:szCs w:val="18"/>
          </w:rPr>
          <w:t>https://www.meic.go.cr/web/53/meic.php</w:t>
        </w:r>
      </w:hyperlink>
      <w:r>
        <w:rPr>
          <w:sz w:val="18"/>
          <w:szCs w:val="18"/>
        </w:rPr>
        <w:t xml:space="preserve"> </w:t>
      </w:r>
    </w:p>
    <w:p w14:paraId="26EC4CD5" w14:textId="1E06110E" w:rsidR="004970AD" w:rsidRDefault="004970AD" w:rsidP="00AB537F">
      <w:pPr>
        <w:jc w:val="both"/>
        <w:rPr>
          <w:sz w:val="18"/>
          <w:szCs w:val="18"/>
        </w:rPr>
      </w:pPr>
      <w:r w:rsidRPr="004970AD">
        <w:rPr>
          <w:sz w:val="18"/>
          <w:szCs w:val="18"/>
        </w:rPr>
        <w:t xml:space="preserve"> </w:t>
      </w:r>
    </w:p>
    <w:p w14:paraId="54CF4823" w14:textId="77777777" w:rsidR="002B1105" w:rsidRDefault="002B1105" w:rsidP="00AB537F">
      <w:pPr>
        <w:jc w:val="both"/>
        <w:rPr>
          <w:sz w:val="18"/>
          <w:szCs w:val="18"/>
        </w:rPr>
      </w:pPr>
    </w:p>
    <w:p w14:paraId="7923629F" w14:textId="77777777" w:rsidR="002B1105" w:rsidRDefault="002B1105" w:rsidP="00AB537F">
      <w:pPr>
        <w:jc w:val="both"/>
        <w:rPr>
          <w:sz w:val="18"/>
          <w:szCs w:val="18"/>
        </w:rPr>
      </w:pPr>
    </w:p>
    <w:p w14:paraId="4A1D41DB" w14:textId="77777777" w:rsidR="002B1105" w:rsidRDefault="002B1105" w:rsidP="00AB537F">
      <w:pPr>
        <w:jc w:val="both"/>
        <w:rPr>
          <w:sz w:val="18"/>
          <w:szCs w:val="18"/>
        </w:rPr>
      </w:pPr>
    </w:p>
    <w:p w14:paraId="0E4EBD19" w14:textId="77777777" w:rsidR="002B1105" w:rsidRDefault="002B1105" w:rsidP="00AB537F">
      <w:pPr>
        <w:jc w:val="both"/>
        <w:rPr>
          <w:sz w:val="18"/>
          <w:szCs w:val="18"/>
        </w:rPr>
      </w:pPr>
    </w:p>
    <w:p w14:paraId="3FD38099" w14:textId="77777777" w:rsidR="002B1105" w:rsidRDefault="002B1105" w:rsidP="00AB537F">
      <w:pPr>
        <w:jc w:val="both"/>
        <w:rPr>
          <w:sz w:val="18"/>
          <w:szCs w:val="18"/>
        </w:rPr>
      </w:pPr>
    </w:p>
    <w:p w14:paraId="08C2D115" w14:textId="77777777" w:rsidR="002B1105" w:rsidRDefault="002B1105" w:rsidP="00AB537F">
      <w:pPr>
        <w:jc w:val="both"/>
        <w:rPr>
          <w:sz w:val="18"/>
          <w:szCs w:val="18"/>
        </w:rPr>
      </w:pPr>
    </w:p>
    <w:p w14:paraId="6FEF7899" w14:textId="77777777" w:rsidR="002B1105" w:rsidRDefault="002B1105" w:rsidP="00AB537F">
      <w:pPr>
        <w:jc w:val="both"/>
        <w:rPr>
          <w:sz w:val="18"/>
          <w:szCs w:val="18"/>
        </w:rPr>
      </w:pPr>
    </w:p>
    <w:p w14:paraId="7F03EFCE" w14:textId="77777777" w:rsidR="002B1105" w:rsidRDefault="002B1105" w:rsidP="00AB537F">
      <w:pPr>
        <w:jc w:val="both"/>
        <w:rPr>
          <w:sz w:val="18"/>
          <w:szCs w:val="18"/>
        </w:rPr>
      </w:pPr>
    </w:p>
    <w:p w14:paraId="6C40C261" w14:textId="77777777" w:rsidR="002B1105" w:rsidRDefault="002B1105" w:rsidP="00AB537F">
      <w:pPr>
        <w:jc w:val="both"/>
        <w:rPr>
          <w:sz w:val="18"/>
          <w:szCs w:val="18"/>
        </w:rPr>
      </w:pPr>
    </w:p>
    <w:p w14:paraId="14B80CB2" w14:textId="77777777" w:rsidR="002B1105" w:rsidRDefault="002B1105" w:rsidP="00AB537F">
      <w:pPr>
        <w:jc w:val="both"/>
        <w:rPr>
          <w:sz w:val="18"/>
          <w:szCs w:val="18"/>
        </w:rPr>
      </w:pPr>
    </w:p>
    <w:p w14:paraId="6DB4F7F1" w14:textId="21EA2C90" w:rsidR="002B1105" w:rsidRPr="002B1105" w:rsidRDefault="002B1105" w:rsidP="002B1105">
      <w:pPr>
        <w:pStyle w:val="Descripcin"/>
        <w:rPr>
          <w:color w:val="auto"/>
        </w:rPr>
      </w:pPr>
      <w:r w:rsidRPr="0044099A">
        <w:rPr>
          <w:color w:val="auto"/>
        </w:rPr>
        <w:lastRenderedPageBreak/>
        <w:t xml:space="preserve">Anexo </w:t>
      </w:r>
      <w:r w:rsidRPr="0044099A">
        <w:rPr>
          <w:color w:val="auto"/>
        </w:rPr>
        <w:fldChar w:fldCharType="begin"/>
      </w:r>
      <w:r w:rsidRPr="0044099A">
        <w:rPr>
          <w:color w:val="auto"/>
        </w:rPr>
        <w:instrText xml:space="preserve"> SEQ Anexo \* ARABIC </w:instrText>
      </w:r>
      <w:r w:rsidRPr="0044099A">
        <w:rPr>
          <w:color w:val="auto"/>
        </w:rPr>
        <w:fldChar w:fldCharType="separate"/>
      </w:r>
      <w:r w:rsidR="00B10B0E">
        <w:rPr>
          <w:noProof/>
          <w:color w:val="auto"/>
        </w:rPr>
        <w:t>2</w:t>
      </w:r>
      <w:r w:rsidRPr="0044099A">
        <w:rPr>
          <w:color w:val="auto"/>
        </w:rPr>
        <w:fldChar w:fldCharType="end"/>
      </w:r>
      <w:r w:rsidRPr="0044099A">
        <w:rPr>
          <w:color w:val="auto"/>
        </w:rPr>
        <w:t>. Organigrama del Ministerio de Comercio</w:t>
      </w:r>
      <w:r>
        <w:rPr>
          <w:color w:val="auto"/>
        </w:rPr>
        <w:t xml:space="preserve"> Exterior</w:t>
      </w:r>
      <w:r w:rsidRPr="0044099A">
        <w:rPr>
          <w:color w:val="auto"/>
        </w:rPr>
        <w:t>, 2024.</w:t>
      </w:r>
    </w:p>
    <w:p w14:paraId="22AF0920" w14:textId="3766F374" w:rsidR="002B1105" w:rsidRDefault="002B1105" w:rsidP="00AB537F">
      <w:pPr>
        <w:jc w:val="both"/>
        <w:rPr>
          <w:sz w:val="18"/>
          <w:szCs w:val="18"/>
        </w:rPr>
      </w:pPr>
      <w:r>
        <w:rPr>
          <w:noProof/>
          <w:sz w:val="18"/>
          <w:szCs w:val="18"/>
          <w14:ligatures w14:val="standardContextual"/>
        </w:rPr>
        <w:drawing>
          <wp:inline distT="0" distB="0" distL="0" distR="0" wp14:anchorId="03966949" wp14:editId="2377AFDD">
            <wp:extent cx="5612130" cy="3156585"/>
            <wp:effectExtent l="0" t="0" r="7620" b="5715"/>
            <wp:docPr id="2121256153" name="Imagen 2" descr="Diagrama, 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256153" name="Imagen 2" descr="Diagrama, Escala de tiempo&#10;&#10;Descripción generada automáticament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612130" cy="3156585"/>
                    </a:xfrm>
                    <a:prstGeom prst="rect">
                      <a:avLst/>
                    </a:prstGeom>
                  </pic:spPr>
                </pic:pic>
              </a:graphicData>
            </a:graphic>
          </wp:inline>
        </w:drawing>
      </w:r>
    </w:p>
    <w:p w14:paraId="7E5A0A64" w14:textId="0B0ACE33" w:rsidR="00B10B0E" w:rsidRDefault="00B10B0E" w:rsidP="00AB537F">
      <w:pPr>
        <w:jc w:val="both"/>
        <w:rPr>
          <w:sz w:val="18"/>
          <w:szCs w:val="18"/>
        </w:rPr>
      </w:pPr>
      <w:r w:rsidRPr="00B10B0E">
        <w:rPr>
          <w:sz w:val="18"/>
          <w:szCs w:val="18"/>
        </w:rPr>
        <w:t xml:space="preserve">Fuente: </w:t>
      </w:r>
      <w:hyperlink r:id="rId46" w:history="1">
        <w:r w:rsidRPr="00B10B0E">
          <w:rPr>
            <w:rStyle w:val="Hipervnculo"/>
            <w:sz w:val="18"/>
            <w:szCs w:val="18"/>
          </w:rPr>
          <w:t>https://www.comex.go.cr/transparencia/acercade/legislaci%C3%B3n/</w:t>
        </w:r>
      </w:hyperlink>
      <w:r w:rsidRPr="00B10B0E">
        <w:rPr>
          <w:sz w:val="18"/>
          <w:szCs w:val="18"/>
        </w:rPr>
        <w:t xml:space="preserve"> </w:t>
      </w:r>
    </w:p>
    <w:p w14:paraId="362CB5D9" w14:textId="77777777" w:rsidR="00B10B0E" w:rsidRDefault="00B10B0E" w:rsidP="00AB537F">
      <w:pPr>
        <w:jc w:val="both"/>
        <w:rPr>
          <w:sz w:val="18"/>
          <w:szCs w:val="18"/>
        </w:rPr>
      </w:pPr>
    </w:p>
    <w:p w14:paraId="0CA219A0" w14:textId="6B2FE050" w:rsidR="00B10B0E" w:rsidRPr="00B10B0E" w:rsidRDefault="00B10B0E" w:rsidP="00B10B0E">
      <w:pPr>
        <w:pStyle w:val="Descripcin"/>
        <w:rPr>
          <w:color w:val="auto"/>
        </w:rPr>
      </w:pPr>
      <w:r w:rsidRPr="0044099A">
        <w:rPr>
          <w:color w:val="auto"/>
        </w:rPr>
        <w:t xml:space="preserve">Anexo </w:t>
      </w:r>
      <w:r w:rsidRPr="0044099A">
        <w:rPr>
          <w:color w:val="auto"/>
        </w:rPr>
        <w:fldChar w:fldCharType="begin"/>
      </w:r>
      <w:r w:rsidRPr="0044099A">
        <w:rPr>
          <w:color w:val="auto"/>
        </w:rPr>
        <w:instrText xml:space="preserve"> SEQ Anexo \* ARABIC </w:instrText>
      </w:r>
      <w:r w:rsidRPr="0044099A">
        <w:rPr>
          <w:color w:val="auto"/>
        </w:rPr>
        <w:fldChar w:fldCharType="separate"/>
      </w:r>
      <w:r>
        <w:rPr>
          <w:noProof/>
          <w:color w:val="auto"/>
        </w:rPr>
        <w:t>3</w:t>
      </w:r>
      <w:r w:rsidRPr="0044099A">
        <w:rPr>
          <w:color w:val="auto"/>
        </w:rPr>
        <w:fldChar w:fldCharType="end"/>
      </w:r>
      <w:r w:rsidRPr="0044099A">
        <w:rPr>
          <w:color w:val="auto"/>
        </w:rPr>
        <w:t>. Organigrama de</w:t>
      </w:r>
      <w:r>
        <w:rPr>
          <w:color w:val="auto"/>
        </w:rPr>
        <w:t xml:space="preserve"> la Promotora de Comercio Exterior</w:t>
      </w:r>
      <w:r w:rsidRPr="0044099A">
        <w:rPr>
          <w:color w:val="auto"/>
        </w:rPr>
        <w:t>, 202</w:t>
      </w:r>
      <w:r>
        <w:rPr>
          <w:color w:val="auto"/>
        </w:rPr>
        <w:t>3</w:t>
      </w:r>
      <w:r w:rsidRPr="0044099A">
        <w:rPr>
          <w:color w:val="auto"/>
        </w:rPr>
        <w:t>.</w:t>
      </w:r>
    </w:p>
    <w:p w14:paraId="4A4B726F" w14:textId="1CCAF82B" w:rsidR="00B10B0E" w:rsidRDefault="00B10B0E" w:rsidP="00AB537F">
      <w:pPr>
        <w:jc w:val="both"/>
        <w:rPr>
          <w:sz w:val="18"/>
          <w:szCs w:val="18"/>
        </w:rPr>
      </w:pPr>
      <w:r w:rsidRPr="00B10B0E">
        <w:rPr>
          <w:noProof/>
          <w:sz w:val="18"/>
          <w:szCs w:val="18"/>
        </w:rPr>
        <w:drawing>
          <wp:inline distT="0" distB="0" distL="0" distR="0" wp14:anchorId="319F5620" wp14:editId="62633C5A">
            <wp:extent cx="5612130" cy="2572385"/>
            <wp:effectExtent l="0" t="0" r="7620" b="0"/>
            <wp:docPr id="1399683997" name="Imagen 1" descr="Text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683997" name="Imagen 1" descr="Texto&#10;&#10;Descripción generada automáticamente con confianza baja"/>
                    <pic:cNvPicPr/>
                  </pic:nvPicPr>
                  <pic:blipFill>
                    <a:blip r:embed="rId47"/>
                    <a:stretch>
                      <a:fillRect/>
                    </a:stretch>
                  </pic:blipFill>
                  <pic:spPr>
                    <a:xfrm>
                      <a:off x="0" y="0"/>
                      <a:ext cx="5612130" cy="2572385"/>
                    </a:xfrm>
                    <a:prstGeom prst="rect">
                      <a:avLst/>
                    </a:prstGeom>
                  </pic:spPr>
                </pic:pic>
              </a:graphicData>
            </a:graphic>
          </wp:inline>
        </w:drawing>
      </w:r>
    </w:p>
    <w:p w14:paraId="4E49F9AC" w14:textId="59B39F74" w:rsidR="00B10B0E" w:rsidRDefault="00B10B0E" w:rsidP="00AB537F">
      <w:pPr>
        <w:jc w:val="both"/>
        <w:rPr>
          <w:sz w:val="18"/>
          <w:szCs w:val="18"/>
        </w:rPr>
      </w:pPr>
      <w:r>
        <w:rPr>
          <w:sz w:val="18"/>
          <w:szCs w:val="18"/>
        </w:rPr>
        <w:t xml:space="preserve">Enlace de descarga: </w:t>
      </w:r>
      <w:hyperlink r:id="rId48" w:history="1">
        <w:r w:rsidRPr="005A24D5">
          <w:rPr>
            <w:rStyle w:val="Hipervnculo"/>
            <w:sz w:val="18"/>
            <w:szCs w:val="18"/>
          </w:rPr>
          <w:t>https://www.procomer.com/wp-content/uploads/Orga.Institucional-Abril23.pdf</w:t>
        </w:r>
      </w:hyperlink>
      <w:r>
        <w:rPr>
          <w:sz w:val="18"/>
          <w:szCs w:val="18"/>
        </w:rPr>
        <w:t xml:space="preserve"> </w:t>
      </w:r>
    </w:p>
    <w:p w14:paraId="4EEBF8D6" w14:textId="77777777" w:rsidR="00360A1C" w:rsidRDefault="00360A1C" w:rsidP="00AB537F">
      <w:pPr>
        <w:jc w:val="both"/>
        <w:rPr>
          <w:sz w:val="18"/>
          <w:szCs w:val="18"/>
        </w:rPr>
      </w:pPr>
    </w:p>
    <w:p w14:paraId="6CDE81C0" w14:textId="77777777" w:rsidR="00360A1C" w:rsidRDefault="00360A1C" w:rsidP="00AB537F">
      <w:pPr>
        <w:jc w:val="both"/>
        <w:rPr>
          <w:sz w:val="18"/>
          <w:szCs w:val="18"/>
        </w:rPr>
      </w:pPr>
    </w:p>
    <w:p w14:paraId="26BDF3BE" w14:textId="77777777" w:rsidR="00360A1C" w:rsidRDefault="00360A1C" w:rsidP="00AB537F">
      <w:pPr>
        <w:jc w:val="both"/>
        <w:rPr>
          <w:sz w:val="18"/>
          <w:szCs w:val="18"/>
        </w:rPr>
      </w:pPr>
    </w:p>
    <w:p w14:paraId="0AFF5D7A" w14:textId="77777777" w:rsidR="00360A1C" w:rsidRDefault="00360A1C" w:rsidP="00AB537F">
      <w:pPr>
        <w:jc w:val="both"/>
        <w:rPr>
          <w:sz w:val="18"/>
          <w:szCs w:val="18"/>
        </w:rPr>
      </w:pPr>
    </w:p>
    <w:p w14:paraId="5A0204D1" w14:textId="06D5ED96" w:rsidR="00360A1C" w:rsidRPr="00360A1C" w:rsidRDefault="00360A1C" w:rsidP="00B63648">
      <w:pPr>
        <w:pStyle w:val="Ttulo1"/>
        <w:numPr>
          <w:ilvl w:val="0"/>
          <w:numId w:val="5"/>
        </w:numPr>
        <w:rPr>
          <w:rFonts w:eastAsia="Calibri"/>
        </w:rPr>
      </w:pPr>
      <w:bookmarkStart w:id="35" w:name="_Toc159442604"/>
      <w:r w:rsidRPr="00360A1C">
        <w:rPr>
          <w:rFonts w:eastAsia="Calibri"/>
        </w:rPr>
        <w:lastRenderedPageBreak/>
        <w:t>Referencias bibliográficas</w:t>
      </w:r>
      <w:bookmarkEnd w:id="35"/>
    </w:p>
    <w:p w14:paraId="52C230CE" w14:textId="77777777" w:rsidR="00360A1C" w:rsidRDefault="00360A1C" w:rsidP="00AB537F">
      <w:pPr>
        <w:jc w:val="both"/>
        <w:rPr>
          <w:sz w:val="18"/>
          <w:szCs w:val="18"/>
        </w:rPr>
      </w:pPr>
    </w:p>
    <w:p w14:paraId="08AAD1C3" w14:textId="77777777" w:rsidR="00DA47AE" w:rsidRPr="00DA47AE" w:rsidRDefault="00DA47AE" w:rsidP="00DA47AE">
      <w:pPr>
        <w:jc w:val="both"/>
        <w:rPr>
          <w:sz w:val="18"/>
          <w:szCs w:val="18"/>
        </w:rPr>
      </w:pPr>
      <w:r w:rsidRPr="00DA47AE">
        <w:rPr>
          <w:sz w:val="18"/>
          <w:szCs w:val="18"/>
        </w:rPr>
        <w:t>Apuy. E. 2017. Mercado mundial de la madera y tendencias para productos de valor agregado</w:t>
      </w:r>
    </w:p>
    <w:p w14:paraId="1C3DD51F" w14:textId="77777777" w:rsidR="00DA47AE" w:rsidRPr="00DA47AE" w:rsidRDefault="00DA47AE" w:rsidP="00DA47AE">
      <w:pPr>
        <w:jc w:val="both"/>
        <w:rPr>
          <w:sz w:val="18"/>
          <w:szCs w:val="18"/>
        </w:rPr>
      </w:pPr>
      <w:r w:rsidRPr="00DA47AE">
        <w:rPr>
          <w:sz w:val="18"/>
          <w:szCs w:val="18"/>
        </w:rPr>
        <w:t>Apuy. E. 2021. Prospección de oportunidades comerciales para la exportación de madera de balsa en Costa Rica.</w:t>
      </w:r>
    </w:p>
    <w:p w14:paraId="0B25D158" w14:textId="77777777" w:rsidR="00DA47AE" w:rsidRPr="00DA47AE" w:rsidRDefault="00DA47AE" w:rsidP="00DA47AE">
      <w:pPr>
        <w:jc w:val="both"/>
        <w:rPr>
          <w:sz w:val="18"/>
          <w:szCs w:val="18"/>
        </w:rPr>
      </w:pPr>
      <w:r w:rsidRPr="00DA47AE">
        <w:rPr>
          <w:sz w:val="18"/>
          <w:szCs w:val="18"/>
        </w:rPr>
        <w:t>Banco Interamericano de Desarrollo. S.f. Mercados de productos verdes certificados. https://repositorio.catie.ac.cr/bitstream/handle/11554/8200/Mercados_de_productos_verdes_certificados.pdf?sequence=1&amp;isAllowed=y</w:t>
      </w:r>
    </w:p>
    <w:p w14:paraId="44DCD098" w14:textId="77777777" w:rsidR="00DA47AE" w:rsidRPr="00DA47AE" w:rsidRDefault="00DA47AE" w:rsidP="00DA47AE">
      <w:pPr>
        <w:jc w:val="both"/>
        <w:rPr>
          <w:sz w:val="18"/>
          <w:szCs w:val="18"/>
        </w:rPr>
      </w:pPr>
      <w:r w:rsidRPr="00DA47AE">
        <w:rPr>
          <w:sz w:val="18"/>
          <w:szCs w:val="18"/>
        </w:rPr>
        <w:t>Banca para el desarrollo. 2023. Acceso al financiamiento. https://sbdcr.com/financiamiento/acceso-al-financiamiento/</w:t>
      </w:r>
    </w:p>
    <w:p w14:paraId="663B36D3" w14:textId="77777777" w:rsidR="00DA47AE" w:rsidRPr="00DA47AE" w:rsidRDefault="00DA47AE" w:rsidP="00DA47AE">
      <w:pPr>
        <w:jc w:val="both"/>
        <w:rPr>
          <w:sz w:val="18"/>
          <w:szCs w:val="18"/>
        </w:rPr>
      </w:pPr>
      <w:r w:rsidRPr="00DA47AE">
        <w:rPr>
          <w:sz w:val="18"/>
          <w:szCs w:val="18"/>
        </w:rPr>
        <w:t>Berti, G. S.f. Estado actual de los bosques secundarios en Costa Rica: perspectivas para su manejo productivo. Revista Forestal Centroamericana. (29-34) https://repositorio.catie.ac.cr/bitstream/handle/11554/10336/Estado.pdf?sequence=2&amp;isAllowed=y</w:t>
      </w:r>
    </w:p>
    <w:p w14:paraId="08B3342B" w14:textId="77777777" w:rsidR="00DA47AE" w:rsidRPr="00DA47AE" w:rsidRDefault="00DA47AE" w:rsidP="00DA47AE">
      <w:pPr>
        <w:jc w:val="both"/>
        <w:rPr>
          <w:sz w:val="18"/>
          <w:szCs w:val="18"/>
        </w:rPr>
      </w:pPr>
      <w:r w:rsidRPr="00DA47AE">
        <w:rPr>
          <w:sz w:val="18"/>
          <w:szCs w:val="18"/>
        </w:rPr>
        <w:t>CEPAL. 2017. Bioeconomía en América Latina y el Caribe: contexto global y regional y perspectivas. https://www.cepal.org/es/publicaciones/42427-bioeconomia-america-latina-caribe-contexto-global-regional-perspectivas</w:t>
      </w:r>
    </w:p>
    <w:p w14:paraId="5DE4FE3B" w14:textId="77777777" w:rsidR="00DA47AE" w:rsidRPr="00DA47AE" w:rsidRDefault="00DA47AE" w:rsidP="00DA47AE">
      <w:pPr>
        <w:jc w:val="both"/>
        <w:rPr>
          <w:sz w:val="18"/>
          <w:szCs w:val="18"/>
        </w:rPr>
      </w:pPr>
      <w:r w:rsidRPr="00DA47AE">
        <w:rPr>
          <w:sz w:val="18"/>
          <w:szCs w:val="18"/>
        </w:rPr>
        <w:t>CCSS. 2023. Afiliación. https://www.ccss.sa.cr/tramites</w:t>
      </w:r>
    </w:p>
    <w:p w14:paraId="34FA0882" w14:textId="77777777" w:rsidR="00DA47AE" w:rsidRPr="00DA47AE" w:rsidRDefault="00DA47AE" w:rsidP="00DA47AE">
      <w:pPr>
        <w:jc w:val="both"/>
        <w:rPr>
          <w:sz w:val="18"/>
          <w:szCs w:val="18"/>
        </w:rPr>
      </w:pPr>
      <w:r w:rsidRPr="00DA47AE">
        <w:rPr>
          <w:sz w:val="18"/>
          <w:szCs w:val="18"/>
        </w:rPr>
        <w:t>Chavarría, S; Molina, S. 2018. ¿Por qué no incrementa el consumo de madera local? El caso de Costa Rica. https://www.scielo.sa.cr/scielo.php?script=sci_arttext&amp;pid=S2215-25042018000200002</w:t>
      </w:r>
    </w:p>
    <w:p w14:paraId="77252C5B" w14:textId="77777777" w:rsidR="00DA47AE" w:rsidRPr="00DA47AE" w:rsidRDefault="00DA47AE" w:rsidP="00DA47AE">
      <w:pPr>
        <w:jc w:val="both"/>
        <w:rPr>
          <w:sz w:val="18"/>
          <w:szCs w:val="18"/>
        </w:rPr>
      </w:pPr>
      <w:r w:rsidRPr="00DA47AE">
        <w:rPr>
          <w:sz w:val="18"/>
          <w:szCs w:val="18"/>
        </w:rPr>
        <w:t>Chaves-Picado, E. 2012. Competitividad de los productos de madera en el mercado de la construcción en el Gran Área Metropolitana de Costa Rica. https://repositoriotec.tec.ac.cr/handle/2238/3112</w:t>
      </w:r>
    </w:p>
    <w:p w14:paraId="682383AF" w14:textId="77777777" w:rsidR="00DA47AE" w:rsidRPr="00DA47AE" w:rsidRDefault="00DA47AE" w:rsidP="00DA47AE">
      <w:pPr>
        <w:jc w:val="both"/>
        <w:rPr>
          <w:sz w:val="18"/>
          <w:szCs w:val="18"/>
        </w:rPr>
      </w:pPr>
      <w:r w:rsidRPr="00DA47AE">
        <w:rPr>
          <w:sz w:val="18"/>
          <w:szCs w:val="18"/>
        </w:rPr>
        <w:t>Dirección de cambio climático. 2023. Estrategia Nacional de Economía Circular. https://cambioclimatico.go.cr/wp-content/uploads/2023/06/Estrategia-Nacional-Economia-Circular-CR.pdf</w:t>
      </w:r>
    </w:p>
    <w:p w14:paraId="357FCEAE" w14:textId="77777777" w:rsidR="00DA47AE" w:rsidRPr="00DA47AE" w:rsidRDefault="00DA47AE" w:rsidP="00DA47AE">
      <w:pPr>
        <w:jc w:val="both"/>
        <w:rPr>
          <w:sz w:val="18"/>
          <w:szCs w:val="18"/>
        </w:rPr>
      </w:pPr>
      <w:r w:rsidRPr="00DA47AE">
        <w:rPr>
          <w:sz w:val="18"/>
          <w:szCs w:val="18"/>
        </w:rPr>
        <w:t>Ellen MacArthur Foundation. 2019. Diagrama de mariposa de economía circular. https://emf.thirdlight.com/link/bxqwo5kx53lq-2syjxg/@/preview/1?o</w:t>
      </w:r>
    </w:p>
    <w:p w14:paraId="0328B797" w14:textId="77777777" w:rsidR="00DA47AE" w:rsidRPr="00DA47AE" w:rsidRDefault="00DA47AE" w:rsidP="00DA47AE">
      <w:pPr>
        <w:jc w:val="both"/>
        <w:rPr>
          <w:sz w:val="18"/>
          <w:szCs w:val="18"/>
        </w:rPr>
      </w:pPr>
      <w:r w:rsidRPr="00DA47AE">
        <w:rPr>
          <w:sz w:val="18"/>
          <w:szCs w:val="18"/>
        </w:rPr>
        <w:t>FAO. 2017. Movimiento internacional de madera. http://www.cosave.org/sites/default/files/nimfs/ISPM_39_2017_Es_2018-01-15_RevLRG.pdf</w:t>
      </w:r>
    </w:p>
    <w:p w14:paraId="4C17CF2E" w14:textId="77777777" w:rsidR="00DA47AE" w:rsidRPr="00DA47AE" w:rsidRDefault="00DA47AE" w:rsidP="00DA47AE">
      <w:pPr>
        <w:jc w:val="both"/>
        <w:rPr>
          <w:sz w:val="18"/>
          <w:szCs w:val="18"/>
        </w:rPr>
      </w:pPr>
      <w:r w:rsidRPr="00DA47AE">
        <w:rPr>
          <w:sz w:val="18"/>
          <w:szCs w:val="18"/>
        </w:rPr>
        <w:t>FAO. 2018. Reglamentación del embalaje de madera utilizado en el comercio internacional. https://www.fao.org/3/mb160s/mb160s.pdf</w:t>
      </w:r>
    </w:p>
    <w:p w14:paraId="487401D0" w14:textId="77777777" w:rsidR="00DA47AE" w:rsidRPr="00DA47AE" w:rsidRDefault="00DA47AE" w:rsidP="00DA47AE">
      <w:pPr>
        <w:jc w:val="both"/>
        <w:rPr>
          <w:sz w:val="18"/>
          <w:szCs w:val="18"/>
        </w:rPr>
      </w:pPr>
      <w:r w:rsidRPr="00DA47AE">
        <w:rPr>
          <w:sz w:val="18"/>
          <w:szCs w:val="18"/>
        </w:rPr>
        <w:t>FAO. 2020. Evaluación de los recursos forestales mundiales 2020. Costa Rica. https://www.fao.org/3/cb0097es/cb0097es.pdf</w:t>
      </w:r>
    </w:p>
    <w:p w14:paraId="25765AD6" w14:textId="77777777" w:rsidR="00DA47AE" w:rsidRPr="00DA47AE" w:rsidRDefault="00DA47AE" w:rsidP="00DA47AE">
      <w:pPr>
        <w:jc w:val="both"/>
        <w:rPr>
          <w:sz w:val="18"/>
          <w:szCs w:val="18"/>
        </w:rPr>
      </w:pPr>
      <w:r w:rsidRPr="00DA47AE">
        <w:rPr>
          <w:sz w:val="18"/>
          <w:szCs w:val="18"/>
        </w:rPr>
        <w:t>GS1. 2023. Afiliación. https://www.gs1cr.org/afiliacion/</w:t>
      </w:r>
    </w:p>
    <w:p w14:paraId="48878827" w14:textId="77777777" w:rsidR="00DA47AE" w:rsidRPr="00DA47AE" w:rsidRDefault="00DA47AE" w:rsidP="00DA47AE">
      <w:pPr>
        <w:jc w:val="both"/>
        <w:rPr>
          <w:sz w:val="18"/>
          <w:szCs w:val="18"/>
        </w:rPr>
      </w:pPr>
      <w:r w:rsidRPr="00DA47AE">
        <w:rPr>
          <w:sz w:val="18"/>
          <w:szCs w:val="18"/>
        </w:rPr>
        <w:t>INS. 2023. Solicitud de póliza seguro de riesgos del trabajo. https://www.ins-cr.com/media/16259/d0190-solicitud-de-p%C3%B3liza-seguro-de-riesgos-del-trabajo-editable.pdf</w:t>
      </w:r>
    </w:p>
    <w:p w14:paraId="127F13CB" w14:textId="77777777" w:rsidR="00DA47AE" w:rsidRPr="00DA47AE" w:rsidRDefault="00DA47AE" w:rsidP="00DA47AE">
      <w:pPr>
        <w:jc w:val="both"/>
        <w:rPr>
          <w:sz w:val="18"/>
          <w:szCs w:val="18"/>
        </w:rPr>
      </w:pPr>
      <w:r w:rsidRPr="00DA47AE">
        <w:rPr>
          <w:sz w:val="18"/>
          <w:szCs w:val="18"/>
        </w:rPr>
        <w:t>Lizano, S. 2021. Proyecto de investigación: exportación de madera y subproductos desde Costa Rica para el mundo. https://repositorio.ulacit.ac.cr/bitstream/handle/123456789/10673/REF-1630852585-2.pdf?sequence=2</w:t>
      </w:r>
    </w:p>
    <w:p w14:paraId="3026FB22" w14:textId="77777777" w:rsidR="00DA47AE" w:rsidRPr="00DA47AE" w:rsidRDefault="00DA47AE" w:rsidP="00DA47AE">
      <w:pPr>
        <w:jc w:val="both"/>
        <w:rPr>
          <w:sz w:val="18"/>
          <w:szCs w:val="18"/>
        </w:rPr>
      </w:pPr>
      <w:r w:rsidRPr="00DA47AE">
        <w:rPr>
          <w:sz w:val="18"/>
          <w:szCs w:val="18"/>
        </w:rPr>
        <w:t>McKenzie, T. 2003. Tendencias y perspectivas para el sector forestal nacional de costa rica hasta el año 2020. https://www.sirefor.go.cr/pdfs/tematicas/Industria_y_comercio/2003_McKenzie_tendencias2020_CR.pdf</w:t>
      </w:r>
    </w:p>
    <w:p w14:paraId="627D1D84" w14:textId="77777777" w:rsidR="00DA47AE" w:rsidRPr="00DA47AE" w:rsidRDefault="00DA47AE" w:rsidP="00DA47AE">
      <w:pPr>
        <w:jc w:val="both"/>
        <w:rPr>
          <w:sz w:val="18"/>
          <w:szCs w:val="18"/>
        </w:rPr>
      </w:pPr>
      <w:r w:rsidRPr="00DA47AE">
        <w:rPr>
          <w:sz w:val="18"/>
          <w:szCs w:val="18"/>
        </w:rPr>
        <w:t>MEIC. S.f. PYMES y emprendedores pueden exponer y comercializar sus productos en línea. https://www.meic.go.cr/comunicado/995/pymes-y-emprendedores-pueden-exponer-y-comercializar-sus-productos-en-linea.php</w:t>
      </w:r>
    </w:p>
    <w:p w14:paraId="74E24CCF" w14:textId="77777777" w:rsidR="00DA47AE" w:rsidRPr="00DA47AE" w:rsidRDefault="00DA47AE" w:rsidP="00DA47AE">
      <w:pPr>
        <w:jc w:val="both"/>
        <w:rPr>
          <w:sz w:val="18"/>
          <w:szCs w:val="18"/>
        </w:rPr>
      </w:pPr>
      <w:r w:rsidRPr="00DA47AE">
        <w:rPr>
          <w:sz w:val="18"/>
          <w:szCs w:val="18"/>
        </w:rPr>
        <w:t>MEIC. 2006. Reglamento General a la ley N° 8262 de Fortalecimiento de las Pequeñas y Medianas Empresa N° 33111. http://reventazon.meic.go.cr/informacion/legislacion/pyme/33111.pdf</w:t>
      </w:r>
    </w:p>
    <w:p w14:paraId="28A984B5" w14:textId="77777777" w:rsidR="00DA47AE" w:rsidRPr="00DA47AE" w:rsidRDefault="00DA47AE" w:rsidP="00DA47AE">
      <w:pPr>
        <w:jc w:val="both"/>
        <w:rPr>
          <w:sz w:val="18"/>
          <w:szCs w:val="18"/>
          <w:lang w:val="pt-BR"/>
        </w:rPr>
      </w:pPr>
      <w:r w:rsidRPr="00DA47AE">
        <w:rPr>
          <w:sz w:val="18"/>
          <w:szCs w:val="18"/>
          <w:lang w:val="pt-BR"/>
        </w:rPr>
        <w:lastRenderedPageBreak/>
        <w:t>MEIC. 2023. Registro de empresa PYME. https://www.meic.go.cr/web/220/tramites-y-servicios/registros/registro-de-empresas-pyme.php</w:t>
      </w:r>
    </w:p>
    <w:p w14:paraId="0A54CFA0" w14:textId="77777777" w:rsidR="00DA47AE" w:rsidRPr="00DA47AE" w:rsidRDefault="00DA47AE" w:rsidP="00DA47AE">
      <w:pPr>
        <w:jc w:val="both"/>
        <w:rPr>
          <w:sz w:val="18"/>
          <w:szCs w:val="18"/>
        </w:rPr>
      </w:pPr>
      <w:r w:rsidRPr="00DA47AE">
        <w:rPr>
          <w:sz w:val="18"/>
          <w:szCs w:val="18"/>
        </w:rPr>
        <w:t>Melgar, M. S.f. POTENCIAL PARA EL DESARROLLO Y MANEJO DE BOSQUES SECUNDARIOS LATIFOLIADOS DENTRO DEL PROGRAMA MAG-PAES. https://www.gestiopolis.com/wp-content/uploads/2006/04/potencial-para-el-desarrollo-y-manejo-de-bosques-secundarios-latifoliados-dentro-del-programa-mag-paes-1.pdf</w:t>
      </w:r>
    </w:p>
    <w:p w14:paraId="72ADE59E" w14:textId="77777777" w:rsidR="00DA47AE" w:rsidRPr="00DA47AE" w:rsidRDefault="00DA47AE" w:rsidP="00DA47AE">
      <w:pPr>
        <w:jc w:val="both"/>
        <w:rPr>
          <w:sz w:val="18"/>
          <w:szCs w:val="18"/>
        </w:rPr>
      </w:pPr>
      <w:r w:rsidRPr="00DA47AE">
        <w:rPr>
          <w:sz w:val="18"/>
          <w:szCs w:val="18"/>
        </w:rPr>
        <w:t>MICITT. 2020. Estrategia Nacional de Bioeconomía Costa Rica 2020-2030. https://www.conagebio.go.cr/sites/default/files/2022-11/Estrategia%20Nacional%20Bioeconomi%CC%81a%20CR_0.pdf</w:t>
      </w:r>
    </w:p>
    <w:p w14:paraId="144EDCF5" w14:textId="77777777" w:rsidR="00DA47AE" w:rsidRPr="00DA47AE" w:rsidRDefault="00DA47AE" w:rsidP="00DA47AE">
      <w:pPr>
        <w:jc w:val="both"/>
        <w:rPr>
          <w:sz w:val="18"/>
          <w:szCs w:val="18"/>
        </w:rPr>
      </w:pPr>
      <w:r w:rsidRPr="00DA47AE">
        <w:rPr>
          <w:sz w:val="18"/>
          <w:szCs w:val="18"/>
        </w:rPr>
        <w:t>Ministerio de Comercio Exterior. 2023. Certificación de origen. https://www.comex.go.cr/certificaci%C3%93n-de-origen/</w:t>
      </w:r>
    </w:p>
    <w:p w14:paraId="307F4E8A" w14:textId="77777777" w:rsidR="00DA47AE" w:rsidRPr="00DA47AE" w:rsidRDefault="00DA47AE" w:rsidP="00DA47AE">
      <w:pPr>
        <w:jc w:val="both"/>
        <w:rPr>
          <w:sz w:val="18"/>
          <w:szCs w:val="18"/>
        </w:rPr>
      </w:pPr>
      <w:r w:rsidRPr="00DA47AE">
        <w:rPr>
          <w:sz w:val="18"/>
          <w:szCs w:val="18"/>
        </w:rPr>
        <w:t>Ministerio de Comercio Exterior. S.f. Madera y sus manufacturas. https://www.comex.go.cr/media/5066/documento-madera-y-sus-manufacturas-ag.pdf</w:t>
      </w:r>
    </w:p>
    <w:p w14:paraId="1EF4CC11" w14:textId="77777777" w:rsidR="00DA47AE" w:rsidRPr="00DA47AE" w:rsidRDefault="00DA47AE" w:rsidP="00DA47AE">
      <w:pPr>
        <w:jc w:val="both"/>
        <w:rPr>
          <w:sz w:val="18"/>
          <w:szCs w:val="18"/>
        </w:rPr>
      </w:pPr>
      <w:r w:rsidRPr="00DA47AE">
        <w:rPr>
          <w:sz w:val="18"/>
          <w:szCs w:val="18"/>
        </w:rPr>
        <w:t>Ministerio de Hacienda. 2023. Inscripción, modificación y desincripción en el Registro Único Tributario. https://www.hacienda.go.cr/docs/GeneralidadesInscripcionModifDesinsc.pdf</w:t>
      </w:r>
    </w:p>
    <w:p w14:paraId="30456A0A" w14:textId="77777777" w:rsidR="00DA47AE" w:rsidRPr="00DA47AE" w:rsidRDefault="00DA47AE" w:rsidP="00DA47AE">
      <w:pPr>
        <w:jc w:val="both"/>
        <w:rPr>
          <w:sz w:val="18"/>
          <w:szCs w:val="18"/>
        </w:rPr>
      </w:pPr>
      <w:r w:rsidRPr="00DA47AE">
        <w:rPr>
          <w:sz w:val="18"/>
          <w:szCs w:val="18"/>
        </w:rPr>
        <w:t>Ministerio de Hacienda. 2023. Sistema TICA. Partidas. https://aduanas.hacienda.go.cr/tica/web/hCnConsVariasE.aspx</w:t>
      </w:r>
    </w:p>
    <w:p w14:paraId="7201CE82" w14:textId="77777777" w:rsidR="00DA47AE" w:rsidRPr="00DA47AE" w:rsidRDefault="00DA47AE" w:rsidP="00DA47AE">
      <w:pPr>
        <w:jc w:val="both"/>
        <w:rPr>
          <w:sz w:val="18"/>
          <w:szCs w:val="18"/>
        </w:rPr>
      </w:pPr>
      <w:r w:rsidRPr="00DA47AE">
        <w:rPr>
          <w:sz w:val="18"/>
          <w:szCs w:val="18"/>
        </w:rPr>
        <w:t>Ministerio de salud. 2023. Trámite Permisos Sanitarios de Funcionamiento para Establecimientos Industriales, Comerciales y de Servicios. https://www.ministeriodesalud.go.cr/index.php/tramites/empresas/30-tramites/permisos-a-establecimientos/115-tramite-para-autorizaciones-y-permisos-sanitarios-de-funcionamiento-para-establecimientos-industriales-comerciales-y-de-servicios</w:t>
      </w:r>
    </w:p>
    <w:p w14:paraId="4A5C3900" w14:textId="77777777" w:rsidR="00DA47AE" w:rsidRPr="00DA47AE" w:rsidRDefault="00DA47AE" w:rsidP="00DA47AE">
      <w:pPr>
        <w:jc w:val="both"/>
        <w:rPr>
          <w:sz w:val="18"/>
          <w:szCs w:val="18"/>
        </w:rPr>
      </w:pPr>
      <w:r w:rsidRPr="00DA47AE">
        <w:rPr>
          <w:sz w:val="18"/>
          <w:szCs w:val="18"/>
        </w:rPr>
        <w:t>Municipalidad de Heredia. 2023. ¿Qué debo hacer para solicitar un Uso del Suelo? https://www.heredia.go.cr/es/contactenos/preguntas-frecuentes/informaci%C3%B3n/%C2%BFqu%C3%A9-debo-hacer-para-solicitar-un-uso-del-suelo</w:t>
      </w:r>
    </w:p>
    <w:p w14:paraId="4F03A4DE" w14:textId="77777777" w:rsidR="00DA47AE" w:rsidRPr="00DA47AE" w:rsidRDefault="00DA47AE" w:rsidP="00DA47AE">
      <w:pPr>
        <w:jc w:val="both"/>
        <w:rPr>
          <w:sz w:val="18"/>
          <w:szCs w:val="18"/>
        </w:rPr>
      </w:pPr>
      <w:r w:rsidRPr="00DA47AE">
        <w:rPr>
          <w:sz w:val="18"/>
          <w:szCs w:val="18"/>
        </w:rPr>
        <w:t>Municipalidad de Heredia. 2023. Solicitud de Licencia Comercial (Solicitudes nuevas). https://www.heredia.go.cr/es/tramites/servicios-tributarios/solicitud-de-licencia-comercial-solicitudes-nuevas</w:t>
      </w:r>
    </w:p>
    <w:p w14:paraId="59D8B9C1" w14:textId="77777777" w:rsidR="00DA47AE" w:rsidRPr="00DA47AE" w:rsidRDefault="00DA47AE" w:rsidP="00DA47AE">
      <w:pPr>
        <w:jc w:val="both"/>
        <w:rPr>
          <w:sz w:val="18"/>
          <w:szCs w:val="18"/>
        </w:rPr>
      </w:pPr>
      <w:r w:rsidRPr="00DA47AE">
        <w:rPr>
          <w:sz w:val="18"/>
          <w:szCs w:val="18"/>
        </w:rPr>
        <w:t>NAPPO. 2021. Normas regionales de la NAPPO sobre medidas fitosanitarias 5 (NRMF). https://nappo.org/application/files/9516/2068/9033/20210507_RSPM_38_CC-s.pdf</w:t>
      </w:r>
    </w:p>
    <w:p w14:paraId="6A5B0A89" w14:textId="77777777" w:rsidR="00DA47AE" w:rsidRPr="00DA47AE" w:rsidRDefault="00DA47AE" w:rsidP="00DA47AE">
      <w:pPr>
        <w:jc w:val="both"/>
        <w:rPr>
          <w:sz w:val="18"/>
          <w:szCs w:val="18"/>
        </w:rPr>
      </w:pPr>
      <w:r w:rsidRPr="00DA47AE">
        <w:rPr>
          <w:sz w:val="18"/>
          <w:szCs w:val="18"/>
        </w:rPr>
        <w:t>Observatorio desarrollo Económico. 2019. Principios de Economía Circular. https://observatorio.desarrolloeconomico.gov.co/dinamica-economica-industria/principios-de-economia-circular</w:t>
      </w:r>
    </w:p>
    <w:p w14:paraId="41B0196A" w14:textId="77777777" w:rsidR="00DA47AE" w:rsidRPr="00DA47AE" w:rsidRDefault="00DA47AE" w:rsidP="00DA47AE">
      <w:pPr>
        <w:jc w:val="both"/>
        <w:rPr>
          <w:sz w:val="18"/>
          <w:szCs w:val="18"/>
        </w:rPr>
      </w:pPr>
      <w:r w:rsidRPr="00DA47AE">
        <w:rPr>
          <w:sz w:val="18"/>
          <w:szCs w:val="18"/>
        </w:rPr>
        <w:t>ONF. 2015. Mercado de la madera y derivados en Costa Rica. https://onfcr.org/wp-content/uploads/media/uploads/documents/mercado-de-la-madera-y-derivados-en-cr-final.pdf</w:t>
      </w:r>
    </w:p>
    <w:p w14:paraId="1BCBC3B6" w14:textId="77777777" w:rsidR="00DA47AE" w:rsidRPr="00DA47AE" w:rsidRDefault="00DA47AE" w:rsidP="00DA47AE">
      <w:pPr>
        <w:jc w:val="both"/>
        <w:rPr>
          <w:sz w:val="18"/>
          <w:szCs w:val="18"/>
        </w:rPr>
      </w:pPr>
      <w:r w:rsidRPr="00DA47AE">
        <w:rPr>
          <w:sz w:val="18"/>
          <w:szCs w:val="18"/>
        </w:rPr>
        <w:t>ONF. 2022.  Balanza comercial y principales tendencias de las exportaciones e importaciones de madera y mubles de madera en Costa Rica. Estadísticas 2021. https://onfcr.org/wp-content/uploads/Balanza-Comercial-y-Tendencias-de-Exp-e-Imp-Estadisticas-2021-28-04-2022.pdf</w:t>
      </w:r>
    </w:p>
    <w:p w14:paraId="731FEC8A" w14:textId="77777777" w:rsidR="00DA47AE" w:rsidRPr="00DA47AE" w:rsidRDefault="00DA47AE" w:rsidP="00DA47AE">
      <w:pPr>
        <w:jc w:val="both"/>
        <w:rPr>
          <w:sz w:val="18"/>
          <w:szCs w:val="18"/>
        </w:rPr>
      </w:pPr>
      <w:r w:rsidRPr="00DA47AE">
        <w:rPr>
          <w:sz w:val="18"/>
          <w:szCs w:val="18"/>
        </w:rPr>
        <w:t>Parlamento Europeo. 2023. Economía circular: definición, importancia y beneficios. https://www.europarl.europa.eu/news/en/headlines/economy/20151201STO05603/circular-economy-definition-importance-and-benefits</w:t>
      </w:r>
    </w:p>
    <w:p w14:paraId="2AC258A7" w14:textId="77777777" w:rsidR="00DA47AE" w:rsidRPr="00DA47AE" w:rsidRDefault="00DA47AE" w:rsidP="00DA47AE">
      <w:pPr>
        <w:jc w:val="both"/>
        <w:rPr>
          <w:sz w:val="18"/>
          <w:szCs w:val="18"/>
        </w:rPr>
      </w:pPr>
      <w:r w:rsidRPr="00DA47AE">
        <w:rPr>
          <w:sz w:val="18"/>
          <w:szCs w:val="18"/>
        </w:rPr>
        <w:t>Peirano, C. 2022. Desarrollo sostenible | La foresto-industria, su aporte a la economía circular y carbono neutralidad. https://argentinaforestal.com/2022/08/13/economia-circular-y-carbono-neutralidad/</w:t>
      </w:r>
    </w:p>
    <w:p w14:paraId="7CCFD582" w14:textId="77777777" w:rsidR="00DA47AE" w:rsidRPr="00DA47AE" w:rsidRDefault="00DA47AE" w:rsidP="00DA47AE">
      <w:pPr>
        <w:jc w:val="both"/>
        <w:rPr>
          <w:sz w:val="18"/>
          <w:szCs w:val="18"/>
        </w:rPr>
      </w:pPr>
      <w:r w:rsidRPr="00DA47AE">
        <w:rPr>
          <w:sz w:val="18"/>
          <w:szCs w:val="18"/>
        </w:rPr>
        <w:t>PROCOMER. 2016. Guía informativa sobre temas de comercio exterior. https://www.procomer.com/wp-content/uploads/Materiales/guia_informativa_sobre_temas_de_comercio_exterior2020-03-17_17-54-02.pdf</w:t>
      </w:r>
    </w:p>
    <w:p w14:paraId="4C3ECA12" w14:textId="77777777" w:rsidR="00DA47AE" w:rsidRPr="00DA47AE" w:rsidRDefault="00DA47AE" w:rsidP="00DA47AE">
      <w:pPr>
        <w:jc w:val="both"/>
        <w:rPr>
          <w:sz w:val="18"/>
          <w:szCs w:val="18"/>
        </w:rPr>
      </w:pPr>
      <w:r w:rsidRPr="00DA47AE">
        <w:rPr>
          <w:sz w:val="18"/>
          <w:szCs w:val="18"/>
        </w:rPr>
        <w:t>PROCOMER. 2022. Guía para Usuarios Tramitadores. Registro Único Exportador. . https://www.vuce.cr/wp-content/uploads/2022/01/Guia-para-realizar-el-RUE-Primera-Vez-PROCOMER.pdf</w:t>
      </w:r>
    </w:p>
    <w:p w14:paraId="1FDAF978" w14:textId="77777777" w:rsidR="00DA47AE" w:rsidRPr="00DA47AE" w:rsidRDefault="00DA47AE" w:rsidP="00DA47AE">
      <w:pPr>
        <w:jc w:val="both"/>
        <w:rPr>
          <w:sz w:val="18"/>
          <w:szCs w:val="18"/>
        </w:rPr>
      </w:pPr>
      <w:r w:rsidRPr="00DA47AE">
        <w:rPr>
          <w:sz w:val="18"/>
          <w:szCs w:val="18"/>
        </w:rPr>
        <w:t>PROCOMER. 2023. Guía para exportar. https://www.procomer.com/exportador/guia-para-exportar/</w:t>
      </w:r>
    </w:p>
    <w:p w14:paraId="2EA13DC5" w14:textId="77777777" w:rsidR="00DA47AE" w:rsidRPr="00DA47AE" w:rsidRDefault="00DA47AE" w:rsidP="00DA47AE">
      <w:pPr>
        <w:jc w:val="both"/>
        <w:rPr>
          <w:sz w:val="18"/>
          <w:szCs w:val="18"/>
        </w:rPr>
      </w:pPr>
      <w:r w:rsidRPr="00DA47AE">
        <w:rPr>
          <w:sz w:val="18"/>
          <w:szCs w:val="18"/>
        </w:rPr>
        <w:lastRenderedPageBreak/>
        <w:t>PROCOMER. 2023. Implicaciones del pacto verde europeo para las exportaciones agroalimentarias de costa rica. https://www.procomer.com/alertas_comerciales/exportador-alerta/implicaciones-del-pacto-verde-europeo-para-las-exportaciones-agroalimentarias-de-costa-rica/</w:t>
      </w:r>
    </w:p>
    <w:p w14:paraId="7ACB8BD9" w14:textId="77777777" w:rsidR="00DA47AE" w:rsidRPr="00DA47AE" w:rsidRDefault="00DA47AE" w:rsidP="00DA47AE">
      <w:pPr>
        <w:jc w:val="both"/>
        <w:rPr>
          <w:sz w:val="18"/>
          <w:szCs w:val="18"/>
        </w:rPr>
      </w:pPr>
      <w:r w:rsidRPr="00DA47AE">
        <w:rPr>
          <w:sz w:val="18"/>
          <w:szCs w:val="18"/>
        </w:rPr>
        <w:t>Registro Nacional. 2023. Guías y formularios. http://www.registronacional.go.cr/propiedad_industrial/propiedad_industrial_guia_servicios_formularios.htm</w:t>
      </w:r>
    </w:p>
    <w:p w14:paraId="6DC10980" w14:textId="77777777" w:rsidR="00DA47AE" w:rsidRPr="00DA47AE" w:rsidRDefault="00DA47AE" w:rsidP="00DA47AE">
      <w:pPr>
        <w:jc w:val="both"/>
        <w:rPr>
          <w:sz w:val="18"/>
          <w:szCs w:val="18"/>
        </w:rPr>
      </w:pPr>
      <w:r w:rsidRPr="00DA47AE">
        <w:rPr>
          <w:sz w:val="18"/>
          <w:szCs w:val="18"/>
        </w:rPr>
        <w:t>Responsabilidad Social Empresarial y Sustentabilidad. 2022. Economía Circular: qué es, principios, objetivos, beneficios y ejemplos. https://responsabilidadsocial.net/economia-circular-que-es-principios-objetivos-beneficios-y-ejemplos/</w:t>
      </w:r>
    </w:p>
    <w:p w14:paraId="21967581" w14:textId="77777777" w:rsidR="00DA47AE" w:rsidRPr="00DA47AE" w:rsidRDefault="00DA47AE" w:rsidP="00DA47AE">
      <w:pPr>
        <w:jc w:val="both"/>
        <w:rPr>
          <w:sz w:val="18"/>
          <w:szCs w:val="18"/>
        </w:rPr>
      </w:pPr>
      <w:r w:rsidRPr="00DA47AE">
        <w:rPr>
          <w:sz w:val="18"/>
          <w:szCs w:val="18"/>
        </w:rPr>
        <w:t>Santamaría, O; Boeswald, K; Solís, P. 2015. Mercado de la madera y derivados en Costa Rica. https://onfcr.org/wp-content/uploads/media/uploads/documents/mercado-de-la-madera-y-derivados-en-cr-final.pdf</w:t>
      </w:r>
    </w:p>
    <w:p w14:paraId="24268F09" w14:textId="77777777" w:rsidR="00DA47AE" w:rsidRPr="00DA47AE" w:rsidRDefault="00DA47AE" w:rsidP="00DA47AE">
      <w:pPr>
        <w:jc w:val="both"/>
        <w:rPr>
          <w:sz w:val="18"/>
          <w:szCs w:val="18"/>
          <w:lang w:val="pt-BR"/>
        </w:rPr>
      </w:pPr>
      <w:r w:rsidRPr="00DA47AE">
        <w:rPr>
          <w:sz w:val="18"/>
          <w:szCs w:val="18"/>
        </w:rPr>
        <w:t xml:space="preserve">SCIJ. 2016. Estándares de Sostenibilidad para manejo de Bosques Secundarios, Principios, Criterios e Indicadores, Código de Prácticas y Manual de Procedimientos. </w:t>
      </w:r>
      <w:r w:rsidRPr="00DA47AE">
        <w:rPr>
          <w:sz w:val="18"/>
          <w:szCs w:val="18"/>
          <w:lang w:val="pt-BR"/>
        </w:rPr>
        <w:t>N° 39952-MINAE. http://www.pgrweb.go.cr/scij/Busqueda/Normativa/Normas/nrm_texto_completo.aspx?param1=NRTC&amp;nValor1=1&amp;nValor2=82889&amp;nValor3=106166&amp;strTipM=TC</w:t>
      </w:r>
    </w:p>
    <w:p w14:paraId="764A1672" w14:textId="77777777" w:rsidR="00DA47AE" w:rsidRPr="00DA47AE" w:rsidRDefault="00DA47AE" w:rsidP="00DA47AE">
      <w:pPr>
        <w:jc w:val="both"/>
        <w:rPr>
          <w:sz w:val="18"/>
          <w:szCs w:val="18"/>
        </w:rPr>
      </w:pPr>
      <w:r w:rsidRPr="00DA47AE">
        <w:rPr>
          <w:sz w:val="18"/>
          <w:szCs w:val="18"/>
        </w:rPr>
        <w:t>Serrano-Montero, J. R., &amp; Moya-Roque, R. (2012). Procesamiento, uso y mercado de la madera en Costa Rica: aspectos históricos y análisis crítico. Revista Forestal Mesoamericana Kurú, 8(21), pág. 1–12. Recuperado a partir de https://revistas.tec.ac.cr/index.php/kuru/article/view/370</w:t>
      </w:r>
    </w:p>
    <w:p w14:paraId="134C0CE0" w14:textId="77777777" w:rsidR="00DA47AE" w:rsidRPr="00DA47AE" w:rsidRDefault="00DA47AE" w:rsidP="00DA47AE">
      <w:pPr>
        <w:jc w:val="both"/>
        <w:rPr>
          <w:sz w:val="18"/>
          <w:szCs w:val="18"/>
        </w:rPr>
      </w:pPr>
      <w:r w:rsidRPr="00DA47AE">
        <w:rPr>
          <w:sz w:val="18"/>
          <w:szCs w:val="18"/>
        </w:rPr>
        <w:t>Sirefor. 2004. Compendio lineamientos generales para el pre-trámite de exportación. https://www.sirefor.go.cr/pdfs/tematicas/Industria_y_comercio/2004_PROCOMER_Lineaminetos_pre_exportacion.pdf</w:t>
      </w:r>
    </w:p>
    <w:p w14:paraId="6796B1C8" w14:textId="77777777" w:rsidR="00DA47AE" w:rsidRPr="00DA47AE" w:rsidRDefault="00DA47AE" w:rsidP="00DA47AE">
      <w:pPr>
        <w:jc w:val="both"/>
        <w:rPr>
          <w:sz w:val="18"/>
          <w:szCs w:val="18"/>
        </w:rPr>
      </w:pPr>
      <w:r w:rsidRPr="00DA47AE">
        <w:rPr>
          <w:sz w:val="18"/>
          <w:szCs w:val="18"/>
        </w:rPr>
        <w:t>Smith, J; Sabogal, C; de Jong, W; Kaimowitz, D. 1997. Bosques secundarios como recurso para el desarrollo rural y la conservación ambiental en los trópicos de América Latina. https://www.cifor.org/publications/pdf_files/OccPapers/OP-13.pdf</w:t>
      </w:r>
    </w:p>
    <w:p w14:paraId="1B2F3FA4" w14:textId="77777777" w:rsidR="00DA47AE" w:rsidRPr="00DA47AE" w:rsidRDefault="00DA47AE" w:rsidP="00DA47AE">
      <w:pPr>
        <w:jc w:val="both"/>
        <w:rPr>
          <w:sz w:val="18"/>
          <w:szCs w:val="18"/>
        </w:rPr>
      </w:pPr>
      <w:r w:rsidRPr="00DA47AE">
        <w:rPr>
          <w:sz w:val="18"/>
          <w:szCs w:val="18"/>
        </w:rPr>
        <w:t>Villalobos, R. 2020. El manejo forestal del bosque secundario como alternativa de uso de la tierra en la Zona Norte de Costa Rica. https://repositoriotec.tec.ac.cr/bitstream/handle/2238/12237/TFG_Ronny_Villalobos_Chac%c3%b3n.pdf?sequence=1&amp;isAllowed=y</w:t>
      </w:r>
    </w:p>
    <w:p w14:paraId="7EA94553" w14:textId="77777777" w:rsidR="00DA47AE" w:rsidRPr="00DA47AE" w:rsidRDefault="00DA47AE" w:rsidP="00DA47AE">
      <w:pPr>
        <w:jc w:val="both"/>
        <w:rPr>
          <w:sz w:val="18"/>
          <w:szCs w:val="18"/>
        </w:rPr>
      </w:pPr>
      <w:r w:rsidRPr="00DA47AE">
        <w:rPr>
          <w:sz w:val="18"/>
          <w:szCs w:val="18"/>
        </w:rPr>
        <w:t>VUCE. 2023. Certificación de Origen. https://www.vuce.cr/que-es-el-sistema-vuce/certificacion-de-origen/</w:t>
      </w:r>
    </w:p>
    <w:p w14:paraId="3ED57DAF" w14:textId="77777777" w:rsidR="00DA47AE" w:rsidRPr="00DA47AE" w:rsidRDefault="00DA47AE" w:rsidP="00DA47AE">
      <w:pPr>
        <w:jc w:val="both"/>
        <w:rPr>
          <w:sz w:val="18"/>
          <w:szCs w:val="18"/>
        </w:rPr>
      </w:pPr>
      <w:r w:rsidRPr="00DA47AE">
        <w:rPr>
          <w:sz w:val="18"/>
          <w:szCs w:val="18"/>
        </w:rPr>
        <w:t>ZYS Planet. S.f. 10 Principios que Definen Cómo Debe Funcionar la Economía Circular. https://zysplanet.com/sostenibilidad/10-principios-que-definen-como-debe-funcionar-la-economia-circular/</w:t>
      </w:r>
    </w:p>
    <w:p w14:paraId="4ADD988C" w14:textId="77777777" w:rsidR="00DA47AE" w:rsidRPr="00B10B0E" w:rsidRDefault="00DA47AE" w:rsidP="00AB537F">
      <w:pPr>
        <w:jc w:val="both"/>
        <w:rPr>
          <w:sz w:val="18"/>
          <w:szCs w:val="18"/>
        </w:rPr>
      </w:pPr>
    </w:p>
    <w:sectPr w:rsidR="00DA47AE" w:rsidRPr="00B10B0E">
      <w:footerReference w:type="default" r:id="rId4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4379F8" w14:textId="77777777" w:rsidR="000D3FDD" w:rsidRDefault="000D3FDD" w:rsidP="00AE6DC1">
      <w:pPr>
        <w:spacing w:after="0" w:line="240" w:lineRule="auto"/>
      </w:pPr>
      <w:r>
        <w:separator/>
      </w:r>
    </w:p>
  </w:endnote>
  <w:endnote w:type="continuationSeparator" w:id="0">
    <w:p w14:paraId="18850F65" w14:textId="77777777" w:rsidR="000D3FDD" w:rsidRDefault="000D3FDD" w:rsidP="00AE6DC1">
      <w:pPr>
        <w:spacing w:after="0" w:line="240" w:lineRule="auto"/>
      </w:pPr>
      <w:r>
        <w:continuationSeparator/>
      </w:r>
    </w:p>
  </w:endnote>
  <w:endnote w:type="continuationNotice" w:id="1">
    <w:p w14:paraId="430FAD56" w14:textId="77777777" w:rsidR="000D3FDD" w:rsidRDefault="000D3FD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024122"/>
      <w:docPartObj>
        <w:docPartGallery w:val="Page Numbers (Bottom of Page)"/>
        <w:docPartUnique/>
      </w:docPartObj>
    </w:sdtPr>
    <w:sdtEndPr>
      <w:rPr>
        <w:noProof/>
      </w:rPr>
    </w:sdtEndPr>
    <w:sdtContent>
      <w:p w14:paraId="5B9A41A4" w14:textId="77777777" w:rsidR="00826503" w:rsidRDefault="00826503">
        <w:pPr>
          <w:pStyle w:val="Piedepgina"/>
          <w:jc w:val="right"/>
        </w:pPr>
        <w:r>
          <w:fldChar w:fldCharType="begin"/>
        </w:r>
        <w:r>
          <w:instrText xml:space="preserve"> PAGE   \* MERGEFORMAT </w:instrText>
        </w:r>
        <w:r>
          <w:fldChar w:fldCharType="separate"/>
        </w:r>
        <w:r>
          <w:rPr>
            <w:noProof/>
          </w:rPr>
          <w:t>2</w:t>
        </w:r>
        <w:r>
          <w:rPr>
            <w:noProof/>
          </w:rPr>
          <w:fldChar w:fldCharType="end"/>
        </w:r>
      </w:p>
    </w:sdtContent>
  </w:sdt>
  <w:p w14:paraId="47D5125C" w14:textId="77777777" w:rsidR="00826503" w:rsidRDefault="0082650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64356946"/>
      <w:docPartObj>
        <w:docPartGallery w:val="Page Numbers (Bottom of Page)"/>
        <w:docPartUnique/>
      </w:docPartObj>
    </w:sdtPr>
    <w:sdtContent>
      <w:p w14:paraId="4BD04B08" w14:textId="3D7DEB29" w:rsidR="00AE6DC1" w:rsidRDefault="00AE6DC1">
        <w:pPr>
          <w:pStyle w:val="Piedepgina"/>
          <w:jc w:val="right"/>
        </w:pPr>
        <w:r>
          <w:fldChar w:fldCharType="begin"/>
        </w:r>
        <w:r>
          <w:instrText>PAGE   \* MERGEFORMAT</w:instrText>
        </w:r>
        <w:r>
          <w:fldChar w:fldCharType="separate"/>
        </w:r>
        <w:r>
          <w:rPr>
            <w:lang w:val="es-ES"/>
          </w:rPr>
          <w:t>2</w:t>
        </w:r>
        <w:r>
          <w:fldChar w:fldCharType="end"/>
        </w:r>
      </w:p>
    </w:sdtContent>
  </w:sdt>
  <w:p w14:paraId="2992279F" w14:textId="77777777" w:rsidR="00AE6DC1" w:rsidRDefault="00AE6DC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FE021A" w14:textId="77777777" w:rsidR="000D3FDD" w:rsidRDefault="000D3FDD" w:rsidP="00AE6DC1">
      <w:pPr>
        <w:spacing w:after="0" w:line="240" w:lineRule="auto"/>
      </w:pPr>
      <w:r>
        <w:separator/>
      </w:r>
    </w:p>
  </w:footnote>
  <w:footnote w:type="continuationSeparator" w:id="0">
    <w:p w14:paraId="07D5A9B0" w14:textId="77777777" w:rsidR="000D3FDD" w:rsidRDefault="000D3FDD" w:rsidP="00AE6DC1">
      <w:pPr>
        <w:spacing w:after="0" w:line="240" w:lineRule="auto"/>
      </w:pPr>
      <w:r>
        <w:continuationSeparator/>
      </w:r>
    </w:p>
  </w:footnote>
  <w:footnote w:type="continuationNotice" w:id="1">
    <w:p w14:paraId="42A9D508" w14:textId="77777777" w:rsidR="000D3FDD" w:rsidRDefault="000D3FDD">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50FCC"/>
    <w:multiLevelType w:val="hybridMultilevel"/>
    <w:tmpl w:val="12C2E628"/>
    <w:lvl w:ilvl="0" w:tplc="C37C082E">
      <w:start w:val="1"/>
      <w:numFmt w:val="decimal"/>
      <w:lvlText w:val="%1."/>
      <w:lvlJc w:val="left"/>
      <w:pPr>
        <w:ind w:left="720" w:hanging="360"/>
      </w:pPr>
      <w:rPr>
        <w:rFonts w:hint="default"/>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 w15:restartNumberingAfterBreak="0">
    <w:nsid w:val="05F1195F"/>
    <w:multiLevelType w:val="hybridMultilevel"/>
    <w:tmpl w:val="295C1B5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 w15:restartNumberingAfterBreak="0">
    <w:nsid w:val="09721627"/>
    <w:multiLevelType w:val="multilevel"/>
    <w:tmpl w:val="36887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CE8441A"/>
    <w:multiLevelType w:val="multilevel"/>
    <w:tmpl w:val="ED44EB2A"/>
    <w:lvl w:ilvl="0">
      <w:start w:val="1"/>
      <w:numFmt w:val="decimal"/>
      <w:lvlText w:val="%1."/>
      <w:lvlJc w:val="left"/>
      <w:pPr>
        <w:ind w:left="720" w:hanging="360"/>
      </w:pPr>
      <w:rPr>
        <w:rFonts w:hint="default"/>
      </w:rPr>
    </w:lvl>
    <w:lvl w:ilvl="1">
      <w:start w:val="1"/>
      <w:numFmt w:val="decimal"/>
      <w:isLgl/>
      <w:lvlText w:val="%1.%2"/>
      <w:lvlJc w:val="left"/>
      <w:pPr>
        <w:ind w:left="744" w:hanging="38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 w15:restartNumberingAfterBreak="0">
    <w:nsid w:val="210F7104"/>
    <w:multiLevelType w:val="hybridMultilevel"/>
    <w:tmpl w:val="CACC8DAA"/>
    <w:lvl w:ilvl="0" w:tplc="5AA2708A">
      <w:numFmt w:val="bullet"/>
      <w:lvlText w:val="•"/>
      <w:lvlJc w:val="left"/>
      <w:pPr>
        <w:ind w:left="1068" w:hanging="708"/>
      </w:pPr>
      <w:rPr>
        <w:rFonts w:ascii="Calibri" w:eastAsia="Calibri" w:hAnsi="Calibri" w:cs="Calibri"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 w15:restartNumberingAfterBreak="0">
    <w:nsid w:val="23CF6C89"/>
    <w:multiLevelType w:val="hybridMultilevel"/>
    <w:tmpl w:val="4AAC2538"/>
    <w:lvl w:ilvl="0" w:tplc="F92A8754">
      <w:numFmt w:val="bullet"/>
      <w:lvlText w:val="•"/>
      <w:lvlJc w:val="left"/>
      <w:pPr>
        <w:ind w:left="720" w:hanging="360"/>
      </w:pPr>
      <w:rPr>
        <w:rFonts w:ascii="Calibri" w:eastAsia="Calibri" w:hAnsi="Calibri" w:cs="Calibri"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 w15:restartNumberingAfterBreak="0">
    <w:nsid w:val="27A466DE"/>
    <w:multiLevelType w:val="hybridMultilevel"/>
    <w:tmpl w:val="565ED30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7" w15:restartNumberingAfterBreak="0">
    <w:nsid w:val="3D5F1E29"/>
    <w:multiLevelType w:val="multilevel"/>
    <w:tmpl w:val="ED44EB2A"/>
    <w:lvl w:ilvl="0">
      <w:start w:val="1"/>
      <w:numFmt w:val="decimal"/>
      <w:lvlText w:val="%1."/>
      <w:lvlJc w:val="left"/>
      <w:pPr>
        <w:ind w:left="720" w:hanging="360"/>
      </w:pPr>
      <w:rPr>
        <w:rFonts w:hint="default"/>
      </w:rPr>
    </w:lvl>
    <w:lvl w:ilvl="1">
      <w:start w:val="1"/>
      <w:numFmt w:val="decimal"/>
      <w:isLgl/>
      <w:lvlText w:val="%1.%2"/>
      <w:lvlJc w:val="left"/>
      <w:pPr>
        <w:ind w:left="744" w:hanging="38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 w15:restartNumberingAfterBreak="0">
    <w:nsid w:val="4F3723CA"/>
    <w:multiLevelType w:val="multilevel"/>
    <w:tmpl w:val="ED44EB2A"/>
    <w:lvl w:ilvl="0">
      <w:start w:val="1"/>
      <w:numFmt w:val="decimal"/>
      <w:lvlText w:val="%1."/>
      <w:lvlJc w:val="left"/>
      <w:pPr>
        <w:ind w:left="720" w:hanging="360"/>
      </w:pPr>
      <w:rPr>
        <w:rFonts w:hint="default"/>
      </w:rPr>
    </w:lvl>
    <w:lvl w:ilvl="1">
      <w:start w:val="1"/>
      <w:numFmt w:val="decimal"/>
      <w:isLgl/>
      <w:lvlText w:val="%1.%2"/>
      <w:lvlJc w:val="left"/>
      <w:pPr>
        <w:ind w:left="744" w:hanging="38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 w15:restartNumberingAfterBreak="0">
    <w:nsid w:val="54DA6555"/>
    <w:multiLevelType w:val="hybridMultilevel"/>
    <w:tmpl w:val="834CA482"/>
    <w:lvl w:ilvl="0" w:tplc="F92A8754">
      <w:numFmt w:val="bullet"/>
      <w:lvlText w:val="•"/>
      <w:lvlJc w:val="left"/>
      <w:pPr>
        <w:ind w:left="720" w:hanging="360"/>
      </w:pPr>
      <w:rPr>
        <w:rFonts w:ascii="Calibri" w:eastAsia="Calibri" w:hAnsi="Calibri" w:cs="Calibri"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0" w15:restartNumberingAfterBreak="0">
    <w:nsid w:val="56A24662"/>
    <w:multiLevelType w:val="hybridMultilevel"/>
    <w:tmpl w:val="F93AE14A"/>
    <w:lvl w:ilvl="0" w:tplc="5AA2708A">
      <w:numFmt w:val="bullet"/>
      <w:lvlText w:val="•"/>
      <w:lvlJc w:val="left"/>
      <w:pPr>
        <w:ind w:left="1068" w:hanging="708"/>
      </w:pPr>
      <w:rPr>
        <w:rFonts w:ascii="Calibri" w:eastAsia="Calibri" w:hAnsi="Calibri" w:cs="Calibri"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1" w15:restartNumberingAfterBreak="0">
    <w:nsid w:val="62440571"/>
    <w:multiLevelType w:val="hybridMultilevel"/>
    <w:tmpl w:val="5B80C7A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2" w15:restartNumberingAfterBreak="0">
    <w:nsid w:val="7BD4572B"/>
    <w:multiLevelType w:val="multilevel"/>
    <w:tmpl w:val="ED44EB2A"/>
    <w:lvl w:ilvl="0">
      <w:start w:val="1"/>
      <w:numFmt w:val="decimal"/>
      <w:lvlText w:val="%1."/>
      <w:lvlJc w:val="left"/>
      <w:pPr>
        <w:ind w:left="720" w:hanging="360"/>
      </w:pPr>
      <w:rPr>
        <w:rFonts w:hint="default"/>
      </w:rPr>
    </w:lvl>
    <w:lvl w:ilvl="1">
      <w:start w:val="1"/>
      <w:numFmt w:val="decimal"/>
      <w:isLgl/>
      <w:lvlText w:val="%1.%2"/>
      <w:lvlJc w:val="left"/>
      <w:pPr>
        <w:ind w:left="744" w:hanging="38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16cid:durableId="8688">
    <w:abstractNumId w:val="2"/>
  </w:num>
  <w:num w:numId="2" w16cid:durableId="1859856276">
    <w:abstractNumId w:val="12"/>
  </w:num>
  <w:num w:numId="3" w16cid:durableId="775565437">
    <w:abstractNumId w:val="8"/>
  </w:num>
  <w:num w:numId="4" w16cid:durableId="1500000676">
    <w:abstractNumId w:val="6"/>
  </w:num>
  <w:num w:numId="5" w16cid:durableId="1265184895">
    <w:abstractNumId w:val="7"/>
  </w:num>
  <w:num w:numId="6" w16cid:durableId="1828940539">
    <w:abstractNumId w:val="11"/>
  </w:num>
  <w:num w:numId="7" w16cid:durableId="828134118">
    <w:abstractNumId w:val="1"/>
  </w:num>
  <w:num w:numId="8" w16cid:durableId="2009400022">
    <w:abstractNumId w:val="5"/>
  </w:num>
  <w:num w:numId="9" w16cid:durableId="1638025843">
    <w:abstractNumId w:val="9"/>
  </w:num>
  <w:num w:numId="10" w16cid:durableId="720054548">
    <w:abstractNumId w:val="10"/>
  </w:num>
  <w:num w:numId="11" w16cid:durableId="282930843">
    <w:abstractNumId w:val="4"/>
  </w:num>
  <w:num w:numId="12" w16cid:durableId="1807888062">
    <w:abstractNumId w:val="3"/>
  </w:num>
  <w:num w:numId="13" w16cid:durableId="9237619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7AA1"/>
    <w:rsid w:val="00005E08"/>
    <w:rsid w:val="000165C9"/>
    <w:rsid w:val="00023E8E"/>
    <w:rsid w:val="00025153"/>
    <w:rsid w:val="00025DAD"/>
    <w:rsid w:val="00032444"/>
    <w:rsid w:val="00041D87"/>
    <w:rsid w:val="00060116"/>
    <w:rsid w:val="000B4EFE"/>
    <w:rsid w:val="000C4C00"/>
    <w:rsid w:val="000D3CE6"/>
    <w:rsid w:val="000D3FDD"/>
    <w:rsid w:val="000E283C"/>
    <w:rsid w:val="000E7F0C"/>
    <w:rsid w:val="000F3EA2"/>
    <w:rsid w:val="001227A2"/>
    <w:rsid w:val="00126EC8"/>
    <w:rsid w:val="00253C97"/>
    <w:rsid w:val="00255619"/>
    <w:rsid w:val="00265070"/>
    <w:rsid w:val="00277D89"/>
    <w:rsid w:val="002A40F4"/>
    <w:rsid w:val="002B1105"/>
    <w:rsid w:val="002E097D"/>
    <w:rsid w:val="002E50DE"/>
    <w:rsid w:val="003029E1"/>
    <w:rsid w:val="003209EA"/>
    <w:rsid w:val="0032383C"/>
    <w:rsid w:val="0034222A"/>
    <w:rsid w:val="00360A1C"/>
    <w:rsid w:val="00362227"/>
    <w:rsid w:val="003856C4"/>
    <w:rsid w:val="003A4274"/>
    <w:rsid w:val="003C5B9F"/>
    <w:rsid w:val="004326B8"/>
    <w:rsid w:val="0044099A"/>
    <w:rsid w:val="004970AD"/>
    <w:rsid w:val="00497AA1"/>
    <w:rsid w:val="004A0163"/>
    <w:rsid w:val="004C4375"/>
    <w:rsid w:val="004D1CFF"/>
    <w:rsid w:val="004E2BBE"/>
    <w:rsid w:val="00536A05"/>
    <w:rsid w:val="0059492F"/>
    <w:rsid w:val="005B6439"/>
    <w:rsid w:val="006052A3"/>
    <w:rsid w:val="00621777"/>
    <w:rsid w:val="006407D5"/>
    <w:rsid w:val="006E234F"/>
    <w:rsid w:val="006E72CD"/>
    <w:rsid w:val="006F28FA"/>
    <w:rsid w:val="0071292B"/>
    <w:rsid w:val="007268A6"/>
    <w:rsid w:val="00744F5D"/>
    <w:rsid w:val="00756C75"/>
    <w:rsid w:val="00757FD1"/>
    <w:rsid w:val="007600B7"/>
    <w:rsid w:val="00760415"/>
    <w:rsid w:val="0077296F"/>
    <w:rsid w:val="00790E9F"/>
    <w:rsid w:val="007978B8"/>
    <w:rsid w:val="00811655"/>
    <w:rsid w:val="00825EB3"/>
    <w:rsid w:val="00826503"/>
    <w:rsid w:val="00833954"/>
    <w:rsid w:val="0086484C"/>
    <w:rsid w:val="00883713"/>
    <w:rsid w:val="008957DB"/>
    <w:rsid w:val="0089795D"/>
    <w:rsid w:val="008C7F57"/>
    <w:rsid w:val="008F69E1"/>
    <w:rsid w:val="009139BB"/>
    <w:rsid w:val="0093386A"/>
    <w:rsid w:val="00962BDE"/>
    <w:rsid w:val="009A6A05"/>
    <w:rsid w:val="009B5008"/>
    <w:rsid w:val="009D2996"/>
    <w:rsid w:val="00A31257"/>
    <w:rsid w:val="00A343C0"/>
    <w:rsid w:val="00A4734E"/>
    <w:rsid w:val="00A56B60"/>
    <w:rsid w:val="00AB537F"/>
    <w:rsid w:val="00AC60B6"/>
    <w:rsid w:val="00AD2696"/>
    <w:rsid w:val="00AE6DC1"/>
    <w:rsid w:val="00B10B0E"/>
    <w:rsid w:val="00B23974"/>
    <w:rsid w:val="00B3235D"/>
    <w:rsid w:val="00B63648"/>
    <w:rsid w:val="00B744E6"/>
    <w:rsid w:val="00B74ABF"/>
    <w:rsid w:val="00B85E85"/>
    <w:rsid w:val="00B869D1"/>
    <w:rsid w:val="00BC217C"/>
    <w:rsid w:val="00BD201A"/>
    <w:rsid w:val="00BE4D92"/>
    <w:rsid w:val="00BF70E7"/>
    <w:rsid w:val="00C05714"/>
    <w:rsid w:val="00C1177D"/>
    <w:rsid w:val="00C21555"/>
    <w:rsid w:val="00C52A4B"/>
    <w:rsid w:val="00C54E34"/>
    <w:rsid w:val="00C86DE2"/>
    <w:rsid w:val="00C952C6"/>
    <w:rsid w:val="00CB0DAA"/>
    <w:rsid w:val="00CD069C"/>
    <w:rsid w:val="00CF43F1"/>
    <w:rsid w:val="00D342D9"/>
    <w:rsid w:val="00D6212C"/>
    <w:rsid w:val="00D81D52"/>
    <w:rsid w:val="00D95886"/>
    <w:rsid w:val="00DA47AE"/>
    <w:rsid w:val="00DD2B9D"/>
    <w:rsid w:val="00DD3C93"/>
    <w:rsid w:val="00E31EF4"/>
    <w:rsid w:val="00E63748"/>
    <w:rsid w:val="00E63A65"/>
    <w:rsid w:val="00E95B77"/>
    <w:rsid w:val="00E97F89"/>
    <w:rsid w:val="00EA0BEE"/>
    <w:rsid w:val="00EF65E0"/>
    <w:rsid w:val="00F30469"/>
    <w:rsid w:val="00F424A1"/>
    <w:rsid w:val="00F57EF5"/>
    <w:rsid w:val="00F67F58"/>
    <w:rsid w:val="00FB0F72"/>
    <w:rsid w:val="00FB741F"/>
    <w:rsid w:val="00FF1AEA"/>
    <w:rsid w:val="00FF59C4"/>
    <w:rsid w:val="00FF7E91"/>
    <w:rsid w:val="358CB08A"/>
  </w:rsids>
  <m:mathPr>
    <m:mathFont m:val="Cambria Math"/>
    <m:brkBin m:val="before"/>
    <m:brkBinSub m:val="--"/>
    <m:smallFrac m:val="0"/>
    <m:dispDef/>
    <m:lMargin m:val="0"/>
    <m:rMargin m:val="0"/>
    <m:defJc m:val="centerGroup"/>
    <m:wrapIndent m:val="1440"/>
    <m:intLim m:val="subSup"/>
    <m:naryLim m:val="undOvr"/>
  </m:mathPr>
  <w:themeFontLang w:val="es-C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56951A"/>
  <w15:docId w15:val="{65C884B5-E519-4B7C-9D22-DD99D0A085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C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7AA1"/>
    <w:pPr>
      <w:spacing w:line="256" w:lineRule="auto"/>
    </w:pPr>
    <w:rPr>
      <w:rFonts w:ascii="Calibri" w:eastAsia="Calibri" w:hAnsi="Calibri" w:cs="Calibri"/>
      <w:kern w:val="0"/>
      <w:lang w:eastAsia="es-CR"/>
      <w14:ligatures w14:val="none"/>
    </w:rPr>
  </w:style>
  <w:style w:type="paragraph" w:styleId="Ttulo1">
    <w:name w:val="heading 1"/>
    <w:basedOn w:val="Normal"/>
    <w:next w:val="Normal"/>
    <w:link w:val="Ttulo1Car"/>
    <w:uiPriority w:val="9"/>
    <w:qFormat/>
    <w:rsid w:val="00AE6DC1"/>
    <w:pPr>
      <w:keepNext/>
      <w:keepLines/>
      <w:spacing w:before="240" w:after="0"/>
      <w:outlineLvl w:val="0"/>
    </w:pPr>
    <w:rPr>
      <w:rFonts w:asciiTheme="majorHAnsi" w:eastAsiaTheme="majorEastAsia" w:hAnsiTheme="majorHAnsi" w:cstheme="majorBidi"/>
      <w:b/>
      <w:color w:val="2F5496" w:themeColor="accent1" w:themeShade="BF"/>
      <w:sz w:val="32"/>
      <w:szCs w:val="32"/>
    </w:rPr>
  </w:style>
  <w:style w:type="paragraph" w:styleId="Ttulo2">
    <w:name w:val="heading 2"/>
    <w:basedOn w:val="Normal"/>
    <w:next w:val="Normal"/>
    <w:link w:val="Ttulo2Car"/>
    <w:uiPriority w:val="9"/>
    <w:unhideWhenUsed/>
    <w:qFormat/>
    <w:rsid w:val="0082650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82650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E6DC1"/>
    <w:rPr>
      <w:rFonts w:asciiTheme="majorHAnsi" w:eastAsiaTheme="majorEastAsia" w:hAnsiTheme="majorHAnsi" w:cstheme="majorBidi"/>
      <w:b/>
      <w:color w:val="2F5496" w:themeColor="accent1" w:themeShade="BF"/>
      <w:kern w:val="0"/>
      <w:sz w:val="32"/>
      <w:szCs w:val="32"/>
      <w:lang w:eastAsia="es-CR"/>
      <w14:ligatures w14:val="none"/>
    </w:rPr>
  </w:style>
  <w:style w:type="paragraph" w:styleId="TtuloTDC">
    <w:name w:val="TOC Heading"/>
    <w:basedOn w:val="Ttulo1"/>
    <w:next w:val="Normal"/>
    <w:uiPriority w:val="39"/>
    <w:unhideWhenUsed/>
    <w:qFormat/>
    <w:rsid w:val="00AE6DC1"/>
    <w:pPr>
      <w:spacing w:line="259" w:lineRule="auto"/>
      <w:outlineLvl w:val="9"/>
    </w:pPr>
  </w:style>
  <w:style w:type="paragraph" w:styleId="TDC1">
    <w:name w:val="toc 1"/>
    <w:basedOn w:val="Normal"/>
    <w:next w:val="Normal"/>
    <w:autoRedefine/>
    <w:uiPriority w:val="39"/>
    <w:unhideWhenUsed/>
    <w:rsid w:val="00AE6DC1"/>
    <w:pPr>
      <w:spacing w:after="100"/>
    </w:pPr>
  </w:style>
  <w:style w:type="character" w:styleId="Hipervnculo">
    <w:name w:val="Hyperlink"/>
    <w:basedOn w:val="Fuentedeprrafopredeter"/>
    <w:uiPriority w:val="99"/>
    <w:unhideWhenUsed/>
    <w:rsid w:val="00AE6DC1"/>
    <w:rPr>
      <w:color w:val="0563C1" w:themeColor="hyperlink"/>
      <w:u w:val="single"/>
    </w:rPr>
  </w:style>
  <w:style w:type="paragraph" w:styleId="Encabezado">
    <w:name w:val="header"/>
    <w:basedOn w:val="Normal"/>
    <w:link w:val="EncabezadoCar"/>
    <w:uiPriority w:val="99"/>
    <w:unhideWhenUsed/>
    <w:rsid w:val="00AE6DC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E6DC1"/>
    <w:rPr>
      <w:rFonts w:ascii="Calibri" w:eastAsia="Calibri" w:hAnsi="Calibri" w:cs="Calibri"/>
      <w:kern w:val="0"/>
      <w:lang w:eastAsia="es-CR"/>
      <w14:ligatures w14:val="none"/>
    </w:rPr>
  </w:style>
  <w:style w:type="paragraph" w:styleId="Piedepgina">
    <w:name w:val="footer"/>
    <w:basedOn w:val="Normal"/>
    <w:link w:val="PiedepginaCar"/>
    <w:uiPriority w:val="99"/>
    <w:unhideWhenUsed/>
    <w:rsid w:val="00AE6DC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E6DC1"/>
    <w:rPr>
      <w:rFonts w:ascii="Calibri" w:eastAsia="Calibri" w:hAnsi="Calibri" w:cs="Calibri"/>
      <w:kern w:val="0"/>
      <w:lang w:eastAsia="es-CR"/>
      <w14:ligatures w14:val="none"/>
    </w:rPr>
  </w:style>
  <w:style w:type="character" w:customStyle="1" w:styleId="Ttulo2Car">
    <w:name w:val="Título 2 Car"/>
    <w:basedOn w:val="Fuentedeprrafopredeter"/>
    <w:link w:val="Ttulo2"/>
    <w:uiPriority w:val="9"/>
    <w:rsid w:val="00826503"/>
    <w:rPr>
      <w:rFonts w:asciiTheme="majorHAnsi" w:eastAsiaTheme="majorEastAsia" w:hAnsiTheme="majorHAnsi" w:cstheme="majorBidi"/>
      <w:color w:val="2F5496" w:themeColor="accent1" w:themeShade="BF"/>
      <w:kern w:val="0"/>
      <w:sz w:val="26"/>
      <w:szCs w:val="26"/>
      <w:lang w:eastAsia="es-CR"/>
      <w14:ligatures w14:val="none"/>
    </w:rPr>
  </w:style>
  <w:style w:type="paragraph" w:styleId="Prrafodelista">
    <w:name w:val="List Paragraph"/>
    <w:basedOn w:val="Normal"/>
    <w:uiPriority w:val="34"/>
    <w:qFormat/>
    <w:rsid w:val="00826503"/>
    <w:pPr>
      <w:ind w:left="720"/>
      <w:contextualSpacing/>
    </w:pPr>
  </w:style>
  <w:style w:type="character" w:customStyle="1" w:styleId="Ttulo3Car">
    <w:name w:val="Título 3 Car"/>
    <w:basedOn w:val="Fuentedeprrafopredeter"/>
    <w:link w:val="Ttulo3"/>
    <w:uiPriority w:val="9"/>
    <w:rsid w:val="00826503"/>
    <w:rPr>
      <w:rFonts w:asciiTheme="majorHAnsi" w:eastAsiaTheme="majorEastAsia" w:hAnsiTheme="majorHAnsi" w:cstheme="majorBidi"/>
      <w:color w:val="1F3763" w:themeColor="accent1" w:themeShade="7F"/>
      <w:kern w:val="0"/>
      <w:sz w:val="24"/>
      <w:szCs w:val="24"/>
      <w:lang w:eastAsia="es-CR"/>
      <w14:ligatures w14:val="none"/>
    </w:rPr>
  </w:style>
  <w:style w:type="paragraph" w:styleId="Descripcin">
    <w:name w:val="caption"/>
    <w:basedOn w:val="Normal"/>
    <w:next w:val="Normal"/>
    <w:uiPriority w:val="35"/>
    <w:unhideWhenUsed/>
    <w:qFormat/>
    <w:rsid w:val="00826503"/>
    <w:pPr>
      <w:spacing w:line="257" w:lineRule="auto"/>
      <w:jc w:val="both"/>
    </w:pPr>
    <w:rPr>
      <w:b/>
      <w:bCs/>
      <w:color w:val="C45911" w:themeColor="accent2" w:themeShade="BF"/>
      <w:kern w:val="2"/>
      <w:sz w:val="18"/>
      <w:szCs w:val="18"/>
      <w:lang w:eastAsia="en-GB"/>
    </w:rPr>
  </w:style>
  <w:style w:type="paragraph" w:styleId="TDC2">
    <w:name w:val="toc 2"/>
    <w:basedOn w:val="Normal"/>
    <w:next w:val="Normal"/>
    <w:autoRedefine/>
    <w:uiPriority w:val="39"/>
    <w:unhideWhenUsed/>
    <w:rsid w:val="00032444"/>
    <w:pPr>
      <w:tabs>
        <w:tab w:val="left" w:pos="709"/>
        <w:tab w:val="right" w:leader="dot" w:pos="8504"/>
      </w:tabs>
      <w:spacing w:after="100"/>
      <w:ind w:left="220"/>
    </w:pPr>
  </w:style>
  <w:style w:type="paragraph" w:styleId="TDC3">
    <w:name w:val="toc 3"/>
    <w:basedOn w:val="Normal"/>
    <w:next w:val="Normal"/>
    <w:autoRedefine/>
    <w:uiPriority w:val="39"/>
    <w:unhideWhenUsed/>
    <w:rsid w:val="00826503"/>
    <w:pPr>
      <w:spacing w:after="100"/>
      <w:ind w:left="440"/>
    </w:pPr>
  </w:style>
  <w:style w:type="paragraph" w:styleId="NormalWeb">
    <w:name w:val="Normal (Web)"/>
    <w:basedOn w:val="Normal"/>
    <w:uiPriority w:val="99"/>
    <w:semiHidden/>
    <w:unhideWhenUsed/>
    <w:rsid w:val="00C05714"/>
    <w:pPr>
      <w:spacing w:before="100" w:beforeAutospacing="1" w:after="100" w:afterAutospacing="1" w:line="240" w:lineRule="auto"/>
    </w:pPr>
    <w:rPr>
      <w:rFonts w:ascii="Times New Roman" w:eastAsia="Times New Roman" w:hAnsi="Times New Roman" w:cs="Times New Roman"/>
      <w:sz w:val="24"/>
      <w:szCs w:val="24"/>
    </w:rPr>
  </w:style>
  <w:style w:type="character" w:styleId="Mencinsinresolver">
    <w:name w:val="Unresolved Mention"/>
    <w:basedOn w:val="Fuentedeprrafopredeter"/>
    <w:uiPriority w:val="99"/>
    <w:semiHidden/>
    <w:unhideWhenUsed/>
    <w:rsid w:val="003C5B9F"/>
    <w:rPr>
      <w:color w:val="605E5C"/>
      <w:shd w:val="clear" w:color="auto" w:fill="E1DFDD"/>
    </w:rPr>
  </w:style>
  <w:style w:type="table" w:styleId="Tablaconcuadrcula">
    <w:name w:val="Table Grid"/>
    <w:basedOn w:val="Tablanormal"/>
    <w:uiPriority w:val="39"/>
    <w:rsid w:val="007268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normal2">
    <w:name w:val="Plain Table 2"/>
    <w:basedOn w:val="Tablanormal"/>
    <w:uiPriority w:val="42"/>
    <w:rsid w:val="007268A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Revisin">
    <w:name w:val="Revision"/>
    <w:hidden/>
    <w:uiPriority w:val="99"/>
    <w:semiHidden/>
    <w:rsid w:val="00D81D52"/>
    <w:pPr>
      <w:spacing w:after="0" w:line="240" w:lineRule="auto"/>
    </w:pPr>
    <w:rPr>
      <w:rFonts w:ascii="Calibri" w:eastAsia="Calibri" w:hAnsi="Calibri" w:cs="Calibri"/>
      <w:kern w:val="0"/>
      <w:lang w:eastAsia="es-CR"/>
      <w14:ligatures w14:val="none"/>
    </w:rPr>
  </w:style>
  <w:style w:type="character" w:styleId="nfasis">
    <w:name w:val="Emphasis"/>
    <w:basedOn w:val="Fuentedeprrafopredeter"/>
    <w:uiPriority w:val="20"/>
    <w:qFormat/>
    <w:rsid w:val="00D81D52"/>
    <w:rPr>
      <w:i/>
      <w:iCs/>
    </w:rPr>
  </w:style>
  <w:style w:type="character" w:styleId="Refdecomentario">
    <w:name w:val="annotation reference"/>
    <w:basedOn w:val="Fuentedeprrafopredeter"/>
    <w:uiPriority w:val="99"/>
    <w:semiHidden/>
    <w:unhideWhenUsed/>
    <w:rsid w:val="00E97F89"/>
    <w:rPr>
      <w:sz w:val="16"/>
      <w:szCs w:val="16"/>
    </w:rPr>
  </w:style>
  <w:style w:type="paragraph" w:styleId="Textocomentario">
    <w:name w:val="annotation text"/>
    <w:basedOn w:val="Normal"/>
    <w:link w:val="TextocomentarioCar"/>
    <w:uiPriority w:val="99"/>
    <w:semiHidden/>
    <w:unhideWhenUsed/>
    <w:rsid w:val="00E97F89"/>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E97F89"/>
    <w:rPr>
      <w:rFonts w:ascii="Calibri" w:eastAsia="Calibri" w:hAnsi="Calibri" w:cs="Calibri"/>
      <w:kern w:val="0"/>
      <w:sz w:val="20"/>
      <w:szCs w:val="20"/>
      <w:lang w:eastAsia="es-CR"/>
      <w14:ligatures w14:val="none"/>
    </w:rPr>
  </w:style>
  <w:style w:type="paragraph" w:styleId="Asuntodelcomentario">
    <w:name w:val="annotation subject"/>
    <w:basedOn w:val="Textocomentario"/>
    <w:next w:val="Textocomentario"/>
    <w:link w:val="AsuntodelcomentarioCar"/>
    <w:uiPriority w:val="99"/>
    <w:semiHidden/>
    <w:unhideWhenUsed/>
    <w:rsid w:val="00E97F89"/>
    <w:rPr>
      <w:b/>
      <w:bCs/>
    </w:rPr>
  </w:style>
  <w:style w:type="character" w:customStyle="1" w:styleId="AsuntodelcomentarioCar">
    <w:name w:val="Asunto del comentario Car"/>
    <w:basedOn w:val="TextocomentarioCar"/>
    <w:link w:val="Asuntodelcomentario"/>
    <w:uiPriority w:val="99"/>
    <w:semiHidden/>
    <w:rsid w:val="00E97F89"/>
    <w:rPr>
      <w:rFonts w:ascii="Calibri" w:eastAsia="Calibri" w:hAnsi="Calibri" w:cs="Calibri"/>
      <w:b/>
      <w:bCs/>
      <w:kern w:val="0"/>
      <w:sz w:val="20"/>
      <w:szCs w:val="20"/>
      <w:lang w:eastAsia="es-C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6643571">
      <w:bodyDiv w:val="1"/>
      <w:marLeft w:val="0"/>
      <w:marRight w:val="0"/>
      <w:marTop w:val="0"/>
      <w:marBottom w:val="0"/>
      <w:divBdr>
        <w:top w:val="none" w:sz="0" w:space="0" w:color="auto"/>
        <w:left w:val="none" w:sz="0" w:space="0" w:color="auto"/>
        <w:bottom w:val="none" w:sz="0" w:space="0" w:color="auto"/>
        <w:right w:val="none" w:sz="0" w:space="0" w:color="auto"/>
      </w:divBdr>
      <w:divsChild>
        <w:div w:id="878784476">
          <w:marLeft w:val="0"/>
          <w:marRight w:val="0"/>
          <w:marTop w:val="0"/>
          <w:marBottom w:val="0"/>
          <w:divBdr>
            <w:top w:val="none" w:sz="0" w:space="0" w:color="auto"/>
            <w:left w:val="none" w:sz="0" w:space="0" w:color="auto"/>
            <w:bottom w:val="none" w:sz="0" w:space="0" w:color="auto"/>
            <w:right w:val="none" w:sz="0" w:space="0" w:color="auto"/>
          </w:divBdr>
          <w:divsChild>
            <w:div w:id="828525715">
              <w:marLeft w:val="0"/>
              <w:marRight w:val="0"/>
              <w:marTop w:val="0"/>
              <w:marBottom w:val="0"/>
              <w:divBdr>
                <w:top w:val="none" w:sz="0" w:space="0" w:color="auto"/>
                <w:left w:val="none" w:sz="0" w:space="0" w:color="auto"/>
                <w:bottom w:val="none" w:sz="0" w:space="0" w:color="auto"/>
                <w:right w:val="none" w:sz="0" w:space="0" w:color="auto"/>
              </w:divBdr>
              <w:divsChild>
                <w:div w:id="572744198">
                  <w:marLeft w:val="0"/>
                  <w:marRight w:val="0"/>
                  <w:marTop w:val="0"/>
                  <w:marBottom w:val="0"/>
                  <w:divBdr>
                    <w:top w:val="none" w:sz="0" w:space="0" w:color="auto"/>
                    <w:left w:val="none" w:sz="0" w:space="0" w:color="auto"/>
                    <w:bottom w:val="none" w:sz="0" w:space="0" w:color="auto"/>
                    <w:right w:val="none" w:sz="0" w:space="0" w:color="auto"/>
                  </w:divBdr>
                  <w:divsChild>
                    <w:div w:id="614406543">
                      <w:marLeft w:val="0"/>
                      <w:marRight w:val="0"/>
                      <w:marTop w:val="0"/>
                      <w:marBottom w:val="0"/>
                      <w:divBdr>
                        <w:top w:val="none" w:sz="0" w:space="0" w:color="auto"/>
                        <w:left w:val="none" w:sz="0" w:space="0" w:color="auto"/>
                        <w:bottom w:val="none" w:sz="0" w:space="0" w:color="auto"/>
                        <w:right w:val="none" w:sz="0" w:space="0" w:color="auto"/>
                      </w:divBdr>
                      <w:divsChild>
                        <w:div w:id="79706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8777686">
      <w:bodyDiv w:val="1"/>
      <w:marLeft w:val="0"/>
      <w:marRight w:val="0"/>
      <w:marTop w:val="0"/>
      <w:marBottom w:val="0"/>
      <w:divBdr>
        <w:top w:val="none" w:sz="0" w:space="0" w:color="auto"/>
        <w:left w:val="none" w:sz="0" w:space="0" w:color="auto"/>
        <w:bottom w:val="none" w:sz="0" w:space="0" w:color="auto"/>
        <w:right w:val="none" w:sz="0" w:space="0" w:color="auto"/>
      </w:divBdr>
    </w:div>
    <w:div w:id="10759050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diagramLayout" Target="diagrams/layout1.xml"/><Relationship Id="rId26" Type="http://schemas.openxmlformats.org/officeDocument/2006/relationships/image" Target="media/image10.svg"/><Relationship Id="rId39" Type="http://schemas.openxmlformats.org/officeDocument/2006/relationships/image" Target="media/image17.png"/><Relationship Id="rId21" Type="http://schemas.microsoft.com/office/2007/relationships/diagramDrawing" Target="diagrams/drawing1.xml"/><Relationship Id="rId34" Type="http://schemas.openxmlformats.org/officeDocument/2006/relationships/diagramData" Target="diagrams/data3.xml"/><Relationship Id="rId42" Type="http://schemas.openxmlformats.org/officeDocument/2006/relationships/image" Target="media/image20.png"/><Relationship Id="rId47" Type="http://schemas.openxmlformats.org/officeDocument/2006/relationships/image" Target="media/image23.png"/><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meic.go.cr/documentos/d6cnc6hbd/apertura_empresa_costa_rica250219.pdf" TargetMode="External"/><Relationship Id="rId29" Type="http://schemas.openxmlformats.org/officeDocument/2006/relationships/diagramQuickStyle" Target="diagrams/quickStyle2.xml"/><Relationship Id="rId11" Type="http://schemas.openxmlformats.org/officeDocument/2006/relationships/image" Target="media/image1.png"/><Relationship Id="rId24" Type="http://schemas.openxmlformats.org/officeDocument/2006/relationships/image" Target="media/image8.svg"/><Relationship Id="rId32" Type="http://schemas.openxmlformats.org/officeDocument/2006/relationships/image" Target="media/image15.png"/><Relationship Id="rId37" Type="http://schemas.openxmlformats.org/officeDocument/2006/relationships/diagramColors" Target="diagrams/colors3.xml"/><Relationship Id="rId40" Type="http://schemas.openxmlformats.org/officeDocument/2006/relationships/image" Target="media/image18.png"/><Relationship Id="rId45" Type="http://schemas.openxmlformats.org/officeDocument/2006/relationships/image" Target="media/image22.png"/><Relationship Id="rId5" Type="http://schemas.openxmlformats.org/officeDocument/2006/relationships/numbering" Target="numbering.xml"/><Relationship Id="rId15" Type="http://schemas.openxmlformats.org/officeDocument/2006/relationships/hyperlink" Target="https://www.meic.go.cr/web/135/pymes/guias/apertura-de-una-empresa-en-costa-rica.php" TargetMode="External"/><Relationship Id="rId23" Type="http://schemas.openxmlformats.org/officeDocument/2006/relationships/image" Target="media/image7.png"/><Relationship Id="rId28" Type="http://schemas.openxmlformats.org/officeDocument/2006/relationships/diagramLayout" Target="diagrams/layout2.xml"/><Relationship Id="rId36" Type="http://schemas.openxmlformats.org/officeDocument/2006/relationships/diagramQuickStyle" Target="diagrams/quickStyle3.xml"/><Relationship Id="rId49"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diagramQuickStyle" Target="diagrams/quickStyle1.xml"/><Relationship Id="rId31" Type="http://schemas.microsoft.com/office/2007/relationships/diagramDrawing" Target="diagrams/drawing2.xml"/><Relationship Id="rId44" Type="http://schemas.openxmlformats.org/officeDocument/2006/relationships/hyperlink" Target="https://www.meic.go.cr/web/53/meic.php"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6.jpeg"/><Relationship Id="rId27" Type="http://schemas.openxmlformats.org/officeDocument/2006/relationships/diagramData" Target="diagrams/data2.xml"/><Relationship Id="rId30" Type="http://schemas.openxmlformats.org/officeDocument/2006/relationships/diagramColors" Target="diagrams/colors2.xml"/><Relationship Id="rId35" Type="http://schemas.openxmlformats.org/officeDocument/2006/relationships/diagramLayout" Target="diagrams/layout3.xml"/><Relationship Id="rId43" Type="http://schemas.openxmlformats.org/officeDocument/2006/relationships/image" Target="media/image21.jpeg"/><Relationship Id="rId48" Type="http://schemas.openxmlformats.org/officeDocument/2006/relationships/hyperlink" Target="https://www.procomer.com/wp-content/uploads/Orga.Institucional-Abril23.pdf" TargetMode="External"/><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diagramData" Target="diagrams/data1.xml"/><Relationship Id="rId25" Type="http://schemas.openxmlformats.org/officeDocument/2006/relationships/image" Target="media/image9.png"/><Relationship Id="rId33" Type="http://schemas.openxmlformats.org/officeDocument/2006/relationships/image" Target="media/image16.png"/><Relationship Id="rId38" Type="http://schemas.microsoft.com/office/2007/relationships/diagramDrawing" Target="diagrams/drawing3.xml"/><Relationship Id="rId46" Type="http://schemas.openxmlformats.org/officeDocument/2006/relationships/hyperlink" Target="https://www.comex.go.cr/transparencia/acercade/legislaci%C3%B3n/" TargetMode="External"/><Relationship Id="rId20" Type="http://schemas.openxmlformats.org/officeDocument/2006/relationships/diagramColors" Target="diagrams/colors1.xml"/><Relationship Id="rId41"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s>
</file>

<file path=word/diagrams/_rels/data1.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diagrams/_rels/data2.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svg"/><Relationship Id="rId1" Type="http://schemas.openxmlformats.org/officeDocument/2006/relationships/image" Target="../media/image11.png"/><Relationship Id="rId4" Type="http://schemas.openxmlformats.org/officeDocument/2006/relationships/image" Target="../media/image14.svg"/></Relationships>
</file>

<file path=word/diagrams/_rels/drawing1.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diagrams/_rels/drawing2.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svg"/><Relationship Id="rId1" Type="http://schemas.openxmlformats.org/officeDocument/2006/relationships/image" Target="../media/image11.png"/><Relationship Id="rId4" Type="http://schemas.openxmlformats.org/officeDocument/2006/relationships/image" Target="../media/image14.svg"/></Relationships>
</file>

<file path=word/diagrams/colors1.xml><?xml version="1.0" encoding="utf-8"?>
<dgm:colorsDef xmlns:dgm="http://schemas.openxmlformats.org/drawingml/2006/diagram" xmlns:a="http://schemas.openxmlformats.org/drawingml/2006/main" uniqueId="urn:microsoft.com/office/officeart/2005/8/colors/accent6_1">
  <dgm:title val=""/>
  <dgm:desc val=""/>
  <dgm:catLst>
    <dgm:cat type="accent6" pri="11100"/>
  </dgm:catLst>
  <dgm:styleLbl name="node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6">
        <a:shade val="80000"/>
      </a:schemeClr>
    </dgm:linClrLst>
    <dgm:effectClrLst/>
    <dgm:txLinClrLst/>
    <dgm:txFillClrLst/>
    <dgm:txEffectClrLst/>
  </dgm:styleLbl>
  <dgm:styleLbl name="node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f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align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b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dgm:txEffectClrLst/>
  </dgm:styleLbl>
  <dgm:styleLbl name="parChTrans2D2">
    <dgm:fillClrLst meth="repeat">
      <a:schemeClr val="accent6"/>
    </dgm:fillClrLst>
    <dgm:linClrLst meth="repeat">
      <a:schemeClr val="accent6"/>
    </dgm:linClrLst>
    <dgm:effectClrLst/>
    <dgm:txLinClrLst/>
    <dgm:txFillClrLst/>
    <dgm:txEffectClrLst/>
  </dgm:styleLbl>
  <dgm:styleLbl name="parChTrans2D3">
    <dgm:fillClrLst meth="repeat">
      <a:schemeClr val="accent6"/>
    </dgm:fillClrLst>
    <dgm:linClrLst meth="repeat">
      <a:schemeClr val="accent6"/>
    </dgm:linClrLst>
    <dgm:effectClrLst/>
    <dgm:txLinClrLst/>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con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align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trAlignAcc1">
    <dgm:fillClrLst meth="repeat">
      <a:schemeClr val="accent6">
        <a:alpha val="40000"/>
        <a:tint val="40000"/>
      </a:schemeClr>
    </dgm:fillClrLst>
    <dgm:linClrLst meth="repeat">
      <a:schemeClr val="accent6"/>
    </dgm:linClrLst>
    <dgm:effectClrLst/>
    <dgm:txLinClrLst/>
    <dgm:txFillClrLst meth="repeat">
      <a:schemeClr val="dk1"/>
    </dgm:txFillClrLst>
    <dgm:txEffectClrLst/>
  </dgm:styleLbl>
  <dgm:styleLbl name="b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fgAcc0">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2">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3">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4">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610B521-1E33-4F41-A353-D73E87D9A379}" type="doc">
      <dgm:prSet loTypeId="urn:microsoft.com/office/officeart/2008/layout/PictureStrips" loCatId="list" qsTypeId="urn:microsoft.com/office/officeart/2005/8/quickstyle/simple1" qsCatId="simple" csTypeId="urn:microsoft.com/office/officeart/2005/8/colors/accent6_1" csCatId="accent6" phldr="1"/>
      <dgm:spPr/>
      <dgm:t>
        <a:bodyPr/>
        <a:lstStyle/>
        <a:p>
          <a:endParaRPr lang="es-CR"/>
        </a:p>
      </dgm:t>
    </dgm:pt>
    <dgm:pt modelId="{A90A416C-0F9E-4030-90A8-CC225739B034}">
      <dgm:prSet phldrT="[Texto]"/>
      <dgm:spPr/>
      <dgm:t>
        <a:bodyPr/>
        <a:lstStyle/>
        <a:p>
          <a:r>
            <a:rPr lang="es-CR"/>
            <a:t>Participar como Proveedor PYME del Estado</a:t>
          </a:r>
        </a:p>
      </dgm:t>
    </dgm:pt>
    <dgm:pt modelId="{47932B69-7095-4F55-AC50-83BE980BC78A}" type="parTrans" cxnId="{9B4A9DB1-E83D-4D3B-B74F-A66E4D1661A0}">
      <dgm:prSet/>
      <dgm:spPr/>
      <dgm:t>
        <a:bodyPr/>
        <a:lstStyle/>
        <a:p>
          <a:endParaRPr lang="es-CR"/>
        </a:p>
      </dgm:t>
    </dgm:pt>
    <dgm:pt modelId="{B809D541-7BE6-455C-864D-4228C03ED5C1}" type="sibTrans" cxnId="{9B4A9DB1-E83D-4D3B-B74F-A66E4D1661A0}">
      <dgm:prSet/>
      <dgm:spPr/>
      <dgm:t>
        <a:bodyPr/>
        <a:lstStyle/>
        <a:p>
          <a:endParaRPr lang="es-CR"/>
        </a:p>
      </dgm:t>
    </dgm:pt>
    <dgm:pt modelId="{9DEDFE34-6AE2-4D08-AABA-EA432BDC8CE3}">
      <dgm:prSet/>
      <dgm:spPr/>
      <dgm:t>
        <a:bodyPr/>
        <a:lstStyle/>
        <a:p>
          <a:r>
            <a:rPr lang="es-CR"/>
            <a:t>Financiamiento, avales y garantías Fodemipyme (Banco Popular)</a:t>
          </a:r>
        </a:p>
      </dgm:t>
    </dgm:pt>
    <dgm:pt modelId="{61636803-4E61-4DC4-A803-238FAD53D2B5}" type="parTrans" cxnId="{C8F1262A-3649-447E-ADD2-E49A37413491}">
      <dgm:prSet/>
      <dgm:spPr/>
      <dgm:t>
        <a:bodyPr/>
        <a:lstStyle/>
        <a:p>
          <a:endParaRPr lang="es-CR"/>
        </a:p>
      </dgm:t>
    </dgm:pt>
    <dgm:pt modelId="{A708379B-F281-4192-AA12-3BDC62A266B3}" type="sibTrans" cxnId="{C8F1262A-3649-447E-ADD2-E49A37413491}">
      <dgm:prSet/>
      <dgm:spPr/>
      <dgm:t>
        <a:bodyPr/>
        <a:lstStyle/>
        <a:p>
          <a:endParaRPr lang="es-CR"/>
        </a:p>
      </dgm:t>
    </dgm:pt>
    <dgm:pt modelId="{5866E8F0-ADA0-4D6F-90FC-2839D6A69F87}">
      <dgm:prSet/>
      <dgm:spPr/>
      <dgm:t>
        <a:bodyPr/>
        <a:lstStyle/>
        <a:p>
          <a:r>
            <a:rPr lang="es-CR"/>
            <a:t>Fondos no reembolsables para innovación Propyme (MICITT)</a:t>
          </a:r>
        </a:p>
      </dgm:t>
    </dgm:pt>
    <dgm:pt modelId="{3856827E-80E8-424E-9DF8-2D25193F9710}" type="parTrans" cxnId="{36B94256-8954-4FC9-B539-7CBA0B9F08E2}">
      <dgm:prSet/>
      <dgm:spPr/>
      <dgm:t>
        <a:bodyPr/>
        <a:lstStyle/>
        <a:p>
          <a:endParaRPr lang="es-CR"/>
        </a:p>
      </dgm:t>
    </dgm:pt>
    <dgm:pt modelId="{286D0BE6-B064-4EB7-840F-FC5EB139A212}" type="sibTrans" cxnId="{36B94256-8954-4FC9-B539-7CBA0B9F08E2}">
      <dgm:prSet/>
      <dgm:spPr/>
      <dgm:t>
        <a:bodyPr/>
        <a:lstStyle/>
        <a:p>
          <a:endParaRPr lang="es-CR"/>
        </a:p>
      </dgm:t>
    </dgm:pt>
    <dgm:pt modelId="{50CA6F0B-F5B9-40EB-87AB-C663EAFE5BA4}">
      <dgm:prSet/>
      <dgm:spPr/>
      <dgm:t>
        <a:bodyPr/>
        <a:lstStyle/>
        <a:p>
          <a:r>
            <a:rPr lang="es-CR"/>
            <a:t>Servicios de Desarrollo Empresarial, charlas, capacitaciones</a:t>
          </a:r>
        </a:p>
      </dgm:t>
    </dgm:pt>
    <dgm:pt modelId="{BC46453D-97D2-450A-9364-5BD724F05C6F}" type="parTrans" cxnId="{B754E789-73E7-41D6-9068-EF3F7E0678ED}">
      <dgm:prSet/>
      <dgm:spPr/>
      <dgm:t>
        <a:bodyPr/>
        <a:lstStyle/>
        <a:p>
          <a:endParaRPr lang="es-CR"/>
        </a:p>
      </dgm:t>
    </dgm:pt>
    <dgm:pt modelId="{A7723BC4-40B0-4919-AC2F-4C4E0BA3D37E}" type="sibTrans" cxnId="{B754E789-73E7-41D6-9068-EF3F7E0678ED}">
      <dgm:prSet/>
      <dgm:spPr/>
      <dgm:t>
        <a:bodyPr/>
        <a:lstStyle/>
        <a:p>
          <a:endParaRPr lang="es-CR"/>
        </a:p>
      </dgm:t>
    </dgm:pt>
    <dgm:pt modelId="{CE1DF186-7E47-4BBA-8DDB-9C8F451F80D7}">
      <dgm:prSet/>
      <dgm:spPr/>
      <dgm:t>
        <a:bodyPr/>
        <a:lstStyle/>
        <a:p>
          <a:r>
            <a:rPr lang="es-CR"/>
            <a:t>Ferias empresariales y encuentros de negocio</a:t>
          </a:r>
        </a:p>
      </dgm:t>
    </dgm:pt>
    <dgm:pt modelId="{85B84F8F-6DB7-45D6-9BAC-BC340F3D298B}" type="parTrans" cxnId="{87A0CEC4-A743-4DBD-8721-02B0B4EEADDB}">
      <dgm:prSet/>
      <dgm:spPr/>
      <dgm:t>
        <a:bodyPr/>
        <a:lstStyle/>
        <a:p>
          <a:endParaRPr lang="es-CR"/>
        </a:p>
      </dgm:t>
    </dgm:pt>
    <dgm:pt modelId="{D5DAE63A-29D2-45C5-B347-DF6EA8204283}" type="sibTrans" cxnId="{87A0CEC4-A743-4DBD-8721-02B0B4EEADDB}">
      <dgm:prSet/>
      <dgm:spPr/>
      <dgm:t>
        <a:bodyPr/>
        <a:lstStyle/>
        <a:p>
          <a:endParaRPr lang="es-CR"/>
        </a:p>
      </dgm:t>
    </dgm:pt>
    <dgm:pt modelId="{4C78B57A-C897-41C7-8E34-BB16D1F76318}">
      <dgm:prSet/>
      <dgm:spPr/>
      <dgm:t>
        <a:bodyPr/>
        <a:lstStyle/>
        <a:p>
          <a:r>
            <a:rPr lang="es-CR"/>
            <a:t>Sello PYME y Constancia de Condición PYME gratuitos</a:t>
          </a:r>
        </a:p>
      </dgm:t>
    </dgm:pt>
    <dgm:pt modelId="{36543227-D8BE-4A73-A4BE-3BD9B052052E}" type="parTrans" cxnId="{74A935C2-BC22-47AD-B925-B7F798A9BB22}">
      <dgm:prSet/>
      <dgm:spPr/>
      <dgm:t>
        <a:bodyPr/>
        <a:lstStyle/>
        <a:p>
          <a:endParaRPr lang="es-CR"/>
        </a:p>
      </dgm:t>
    </dgm:pt>
    <dgm:pt modelId="{C36B9E58-F4D1-46D6-9BD4-36C97D61CCDD}" type="sibTrans" cxnId="{74A935C2-BC22-47AD-B925-B7F798A9BB22}">
      <dgm:prSet/>
      <dgm:spPr/>
      <dgm:t>
        <a:bodyPr/>
        <a:lstStyle/>
        <a:p>
          <a:endParaRPr lang="es-CR"/>
        </a:p>
      </dgm:t>
    </dgm:pt>
    <dgm:pt modelId="{C5532B7C-37D9-4242-B7F9-10FD06126CA9}">
      <dgm:prSet/>
      <dgm:spPr/>
      <dgm:t>
        <a:bodyPr/>
        <a:lstStyle/>
        <a:p>
          <a:r>
            <a:rPr lang="es-CR"/>
            <a:t>Recursos financieros del Sistema de Banca para Desarrollo</a:t>
          </a:r>
        </a:p>
      </dgm:t>
    </dgm:pt>
    <dgm:pt modelId="{C4219EC6-044B-4337-9887-855DC5048D9A}" type="parTrans" cxnId="{43C68496-6601-4C6F-AA7A-F4FE0D88E575}">
      <dgm:prSet/>
      <dgm:spPr/>
      <dgm:t>
        <a:bodyPr/>
        <a:lstStyle/>
        <a:p>
          <a:endParaRPr lang="es-CR"/>
        </a:p>
      </dgm:t>
    </dgm:pt>
    <dgm:pt modelId="{D13F1E46-076E-4AE0-9CF6-DF2CD8F9D0A4}" type="sibTrans" cxnId="{43C68496-6601-4C6F-AA7A-F4FE0D88E575}">
      <dgm:prSet/>
      <dgm:spPr/>
      <dgm:t>
        <a:bodyPr/>
        <a:lstStyle/>
        <a:p>
          <a:endParaRPr lang="es-CR"/>
        </a:p>
      </dgm:t>
    </dgm:pt>
    <dgm:pt modelId="{C458A494-1080-498B-8DF9-9FFF40DF45C5}">
      <dgm:prSet/>
      <dgm:spPr/>
      <dgm:t>
        <a:bodyPr/>
        <a:lstStyle/>
        <a:p>
          <a:r>
            <a:rPr lang="es-CR"/>
            <a:t>Exoneración impuesto personas jurídicas Micro y Pequeñas empresas</a:t>
          </a:r>
        </a:p>
      </dgm:t>
    </dgm:pt>
    <dgm:pt modelId="{C27256B4-2458-4EBA-9486-B38F03A45120}" type="parTrans" cxnId="{F86447C5-92DD-448E-8DC6-F7CBF27F63A3}">
      <dgm:prSet/>
      <dgm:spPr/>
      <dgm:t>
        <a:bodyPr/>
        <a:lstStyle/>
        <a:p>
          <a:endParaRPr lang="es-CR"/>
        </a:p>
      </dgm:t>
    </dgm:pt>
    <dgm:pt modelId="{D4005355-3FFA-401C-ABD4-A3792833863A}" type="sibTrans" cxnId="{F86447C5-92DD-448E-8DC6-F7CBF27F63A3}">
      <dgm:prSet/>
      <dgm:spPr/>
      <dgm:t>
        <a:bodyPr/>
        <a:lstStyle/>
        <a:p>
          <a:endParaRPr lang="es-CR"/>
        </a:p>
      </dgm:t>
    </dgm:pt>
    <dgm:pt modelId="{70D3FB31-B1F3-4F4F-B8A7-38BC75DAEF5E}">
      <dgm:prSet/>
      <dgm:spPr/>
      <dgm:t>
        <a:bodyPr/>
        <a:lstStyle/>
        <a:p>
          <a:r>
            <a:rPr lang="es-CR"/>
            <a:t>Exoneración IVA alquiler micro y pequeñas, monto menor a ¢669,000</a:t>
          </a:r>
        </a:p>
      </dgm:t>
    </dgm:pt>
    <dgm:pt modelId="{9E154B0A-0175-493C-A8BD-B08B08283D74}" type="parTrans" cxnId="{567DA50A-64E9-4908-A313-34745E82B8F7}">
      <dgm:prSet/>
      <dgm:spPr/>
      <dgm:t>
        <a:bodyPr/>
        <a:lstStyle/>
        <a:p>
          <a:endParaRPr lang="es-CR"/>
        </a:p>
      </dgm:t>
    </dgm:pt>
    <dgm:pt modelId="{D4B66D4E-E083-43FC-BD41-C90F869B52E8}" type="sibTrans" cxnId="{567DA50A-64E9-4908-A313-34745E82B8F7}">
      <dgm:prSet/>
      <dgm:spPr/>
      <dgm:t>
        <a:bodyPr/>
        <a:lstStyle/>
        <a:p>
          <a:endParaRPr lang="es-CR"/>
        </a:p>
      </dgm:t>
    </dgm:pt>
    <dgm:pt modelId="{61D5383B-43E3-459D-BC7E-F08FA3655B30}">
      <dgm:prSet/>
      <dgm:spPr/>
      <dgm:t>
        <a:bodyPr/>
        <a:lstStyle/>
        <a:p>
          <a:r>
            <a:rPr lang="es-CR"/>
            <a:t>Pago escalonado nuevas microempresas: Cargas Sociales CCSS – Impuesto Renta Ministerio de Hacienda</a:t>
          </a:r>
        </a:p>
      </dgm:t>
    </dgm:pt>
    <dgm:pt modelId="{03F1CF50-5B10-405B-9F11-4578A2AC7D8E}" type="parTrans" cxnId="{01B6E182-C2F8-473F-8E3F-10B5E8F38C4A}">
      <dgm:prSet/>
      <dgm:spPr/>
      <dgm:t>
        <a:bodyPr/>
        <a:lstStyle/>
        <a:p>
          <a:endParaRPr lang="es-CR"/>
        </a:p>
      </dgm:t>
    </dgm:pt>
    <dgm:pt modelId="{C6BD79CC-89C2-485B-B889-F72CA2AF3CD0}" type="sibTrans" cxnId="{01B6E182-C2F8-473F-8E3F-10B5E8F38C4A}">
      <dgm:prSet/>
      <dgm:spPr/>
      <dgm:t>
        <a:bodyPr/>
        <a:lstStyle/>
        <a:p>
          <a:endParaRPr lang="es-CR"/>
        </a:p>
      </dgm:t>
    </dgm:pt>
    <dgm:pt modelId="{6E083307-004C-446A-B4EF-BCA7130C3856}">
      <dgm:prSet/>
      <dgm:spPr/>
      <dgm:t>
        <a:bodyPr/>
        <a:lstStyle/>
        <a:p>
          <a:r>
            <a:rPr lang="es-CR"/>
            <a:t>Permiso sanitario de funcionamiento Microempresas $20</a:t>
          </a:r>
        </a:p>
      </dgm:t>
    </dgm:pt>
    <dgm:pt modelId="{18166377-5625-4C01-8873-43A2C9FA4FE0}" type="parTrans" cxnId="{B8E8BCB4-510D-4D08-A4F0-379D861EAD08}">
      <dgm:prSet/>
      <dgm:spPr/>
      <dgm:t>
        <a:bodyPr/>
        <a:lstStyle/>
        <a:p>
          <a:endParaRPr lang="es-CR"/>
        </a:p>
      </dgm:t>
    </dgm:pt>
    <dgm:pt modelId="{B23F4F1C-938B-4CBC-877B-288ECB93353B}" type="sibTrans" cxnId="{B8E8BCB4-510D-4D08-A4F0-379D861EAD08}">
      <dgm:prSet/>
      <dgm:spPr/>
      <dgm:t>
        <a:bodyPr/>
        <a:lstStyle/>
        <a:p>
          <a:endParaRPr lang="es-CR"/>
        </a:p>
      </dgm:t>
    </dgm:pt>
    <dgm:pt modelId="{90CF2AAE-03EE-4D44-A6F4-C9296A4AE0F3}">
      <dgm:prSet/>
      <dgm:spPr/>
      <dgm:t>
        <a:bodyPr/>
        <a:lstStyle/>
        <a:p>
          <a:r>
            <a:rPr lang="es-CR"/>
            <a:t>Tarifa diferenciada en registro sanitario (20%) para Microempresas</a:t>
          </a:r>
        </a:p>
      </dgm:t>
    </dgm:pt>
    <dgm:pt modelId="{A97A906D-5CD7-4C19-B116-2543D76B71DC}" type="parTrans" cxnId="{78907EDC-E117-4DF2-9898-C718633A6CBC}">
      <dgm:prSet/>
      <dgm:spPr/>
      <dgm:t>
        <a:bodyPr/>
        <a:lstStyle/>
        <a:p>
          <a:endParaRPr lang="es-CR"/>
        </a:p>
      </dgm:t>
    </dgm:pt>
    <dgm:pt modelId="{D7F806EB-A5D4-4138-A076-55A38683DA99}" type="sibTrans" cxnId="{78907EDC-E117-4DF2-9898-C718633A6CBC}">
      <dgm:prSet/>
      <dgm:spPr/>
      <dgm:t>
        <a:bodyPr/>
        <a:lstStyle/>
        <a:p>
          <a:endParaRPr lang="es-CR"/>
        </a:p>
      </dgm:t>
    </dgm:pt>
    <dgm:pt modelId="{EDCE2C94-F10C-41BA-9EF9-C223523ABB2E}" type="pres">
      <dgm:prSet presAssocID="{A610B521-1E33-4F41-A353-D73E87D9A379}" presName="Name0" presStyleCnt="0">
        <dgm:presLayoutVars>
          <dgm:dir/>
          <dgm:resizeHandles val="exact"/>
        </dgm:presLayoutVars>
      </dgm:prSet>
      <dgm:spPr/>
    </dgm:pt>
    <dgm:pt modelId="{9A7219BC-E587-4728-AB92-C0B2238F71D7}" type="pres">
      <dgm:prSet presAssocID="{A90A416C-0F9E-4030-90A8-CC225739B034}" presName="composite" presStyleCnt="0"/>
      <dgm:spPr/>
    </dgm:pt>
    <dgm:pt modelId="{BE89E32D-8474-4A98-AC0B-31BA38569B33}" type="pres">
      <dgm:prSet presAssocID="{A90A416C-0F9E-4030-90A8-CC225739B034}" presName="rect1" presStyleLbl="trAlignAcc1" presStyleIdx="0" presStyleCnt="12">
        <dgm:presLayoutVars>
          <dgm:bulletEnabled val="1"/>
        </dgm:presLayoutVars>
      </dgm:prSet>
      <dgm:spPr/>
    </dgm:pt>
    <dgm:pt modelId="{0BF35936-01FB-4F2F-A831-D78DC8E784E4}" type="pres">
      <dgm:prSet presAssocID="{A90A416C-0F9E-4030-90A8-CC225739B034}" presName="rect2" presStyleLbl="fgImgPlace1" presStyleIdx="0" presStyleCnt="12"/>
      <dgm:spPr>
        <a:blipFill>
          <a:blip xmlns:r="http://schemas.openxmlformats.org/officeDocument/2006/relationships" r:embed="rId1">
            <a:extLst>
              <a:ext uri="{96DAC541-7B7A-43D3-8B79-37D633B846F1}">
                <asvg:svgBlip xmlns:asvg="http://schemas.microsoft.com/office/drawing/2016/SVG/main" r:embed="rId2"/>
              </a:ext>
            </a:extLst>
          </a:blip>
          <a:srcRect/>
          <a:stretch>
            <a:fillRect l="-25000" r="-25000"/>
          </a:stretch>
        </a:blipFill>
        <a:ln>
          <a:noFill/>
        </a:ln>
      </dgm:spPr>
      <dgm:extLst>
        <a:ext uri="{E40237B7-FDA0-4F09-8148-C483321AD2D9}">
          <dgm14:cNvPr xmlns:dgm14="http://schemas.microsoft.com/office/drawing/2010/diagram" id="0" name="" descr="Casilla marcada con relleno sólido"/>
        </a:ext>
      </dgm:extLst>
    </dgm:pt>
    <dgm:pt modelId="{4AD72223-B793-49CE-A4D3-0868FB68BCB7}" type="pres">
      <dgm:prSet presAssocID="{B809D541-7BE6-455C-864D-4228C03ED5C1}" presName="sibTrans" presStyleCnt="0"/>
      <dgm:spPr/>
    </dgm:pt>
    <dgm:pt modelId="{D434F1FD-930C-4AF8-919C-6ED0CF1E6E4D}" type="pres">
      <dgm:prSet presAssocID="{9DEDFE34-6AE2-4D08-AABA-EA432BDC8CE3}" presName="composite" presStyleCnt="0"/>
      <dgm:spPr/>
    </dgm:pt>
    <dgm:pt modelId="{BF710F2F-BE65-40ED-89A4-768D54589ADE}" type="pres">
      <dgm:prSet presAssocID="{9DEDFE34-6AE2-4D08-AABA-EA432BDC8CE3}" presName="rect1" presStyleLbl="trAlignAcc1" presStyleIdx="1" presStyleCnt="12">
        <dgm:presLayoutVars>
          <dgm:bulletEnabled val="1"/>
        </dgm:presLayoutVars>
      </dgm:prSet>
      <dgm:spPr/>
    </dgm:pt>
    <dgm:pt modelId="{163BE0FD-A18D-43ED-9F7D-D124EE4D116E}" type="pres">
      <dgm:prSet presAssocID="{9DEDFE34-6AE2-4D08-AABA-EA432BDC8CE3}" presName="rect2" presStyleLbl="fgImgPlace1" presStyleIdx="1" presStyleCnt="12"/>
      <dgm:spPr>
        <a:blipFill>
          <a:blip xmlns:r="http://schemas.openxmlformats.org/officeDocument/2006/relationships" r:embed="rId1">
            <a:extLst>
              <a:ext uri="{96DAC541-7B7A-43D3-8B79-37D633B846F1}">
                <asvg:svgBlip xmlns:asvg="http://schemas.microsoft.com/office/drawing/2016/SVG/main" r:embed="rId2"/>
              </a:ext>
            </a:extLst>
          </a:blip>
          <a:srcRect/>
          <a:stretch>
            <a:fillRect l="-25000" r="-25000"/>
          </a:stretch>
        </a:blipFill>
        <a:ln>
          <a:noFill/>
        </a:ln>
      </dgm:spPr>
      <dgm:extLst>
        <a:ext uri="{E40237B7-FDA0-4F09-8148-C483321AD2D9}">
          <dgm14:cNvPr xmlns:dgm14="http://schemas.microsoft.com/office/drawing/2010/diagram" id="0" name="" descr="Casilla marcada con relleno sólido"/>
        </a:ext>
      </dgm:extLst>
    </dgm:pt>
    <dgm:pt modelId="{CAA83DE2-13DB-41AE-8C72-72863FA4AEAF}" type="pres">
      <dgm:prSet presAssocID="{A708379B-F281-4192-AA12-3BDC62A266B3}" presName="sibTrans" presStyleCnt="0"/>
      <dgm:spPr/>
    </dgm:pt>
    <dgm:pt modelId="{5C132411-FC2E-409C-BFCF-D689E26C8E70}" type="pres">
      <dgm:prSet presAssocID="{5866E8F0-ADA0-4D6F-90FC-2839D6A69F87}" presName="composite" presStyleCnt="0"/>
      <dgm:spPr/>
    </dgm:pt>
    <dgm:pt modelId="{4BFDA4DA-7ABD-4C06-AA3B-B8422E71F4D5}" type="pres">
      <dgm:prSet presAssocID="{5866E8F0-ADA0-4D6F-90FC-2839D6A69F87}" presName="rect1" presStyleLbl="trAlignAcc1" presStyleIdx="2" presStyleCnt="12">
        <dgm:presLayoutVars>
          <dgm:bulletEnabled val="1"/>
        </dgm:presLayoutVars>
      </dgm:prSet>
      <dgm:spPr/>
    </dgm:pt>
    <dgm:pt modelId="{2F3107E0-BB9F-4740-B223-D283333C0BB0}" type="pres">
      <dgm:prSet presAssocID="{5866E8F0-ADA0-4D6F-90FC-2839D6A69F87}" presName="rect2" presStyleLbl="fgImgPlace1" presStyleIdx="2" presStyleCnt="12"/>
      <dgm:spPr>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25000" r="-25000"/>
          </a:stretch>
        </a:blipFill>
        <a:ln>
          <a:noFill/>
        </a:ln>
      </dgm:spPr>
      <dgm:extLst>
        <a:ext uri="{E40237B7-FDA0-4F09-8148-C483321AD2D9}">
          <dgm14:cNvPr xmlns:dgm14="http://schemas.microsoft.com/office/drawing/2010/diagram" id="0" name="" descr="Casilla marcada con relleno sólido"/>
        </a:ext>
      </dgm:extLst>
    </dgm:pt>
    <dgm:pt modelId="{BB69EC42-3F57-4AAE-9AE4-2A1A83B0308F}" type="pres">
      <dgm:prSet presAssocID="{286D0BE6-B064-4EB7-840F-FC5EB139A212}" presName="sibTrans" presStyleCnt="0"/>
      <dgm:spPr/>
    </dgm:pt>
    <dgm:pt modelId="{8A11983C-8D9C-4EA3-A3B8-E5B0B2C39C08}" type="pres">
      <dgm:prSet presAssocID="{50CA6F0B-F5B9-40EB-87AB-C663EAFE5BA4}" presName="composite" presStyleCnt="0"/>
      <dgm:spPr/>
    </dgm:pt>
    <dgm:pt modelId="{6A8E1776-97BA-4E1C-ACFA-31903E8E296A}" type="pres">
      <dgm:prSet presAssocID="{50CA6F0B-F5B9-40EB-87AB-C663EAFE5BA4}" presName="rect1" presStyleLbl="trAlignAcc1" presStyleIdx="3" presStyleCnt="12">
        <dgm:presLayoutVars>
          <dgm:bulletEnabled val="1"/>
        </dgm:presLayoutVars>
      </dgm:prSet>
      <dgm:spPr/>
    </dgm:pt>
    <dgm:pt modelId="{B03E81CE-B445-434E-AAE8-C140B1367CFE}" type="pres">
      <dgm:prSet presAssocID="{50CA6F0B-F5B9-40EB-87AB-C663EAFE5BA4}" presName="rect2" presStyleLbl="fgImgPlace1" presStyleIdx="3" presStyleCnt="12"/>
      <dgm:spPr>
        <a:blipFill>
          <a:blip xmlns:r="http://schemas.openxmlformats.org/officeDocument/2006/relationships" r:embed="rId1">
            <a:extLst>
              <a:ext uri="{96DAC541-7B7A-43D3-8B79-37D633B846F1}">
                <asvg:svgBlip xmlns:asvg="http://schemas.microsoft.com/office/drawing/2016/SVG/main" r:embed="rId2"/>
              </a:ext>
            </a:extLst>
          </a:blip>
          <a:srcRect/>
          <a:stretch>
            <a:fillRect l="-25000" r="-25000"/>
          </a:stretch>
        </a:blipFill>
        <a:ln>
          <a:noFill/>
        </a:ln>
      </dgm:spPr>
      <dgm:extLst>
        <a:ext uri="{E40237B7-FDA0-4F09-8148-C483321AD2D9}">
          <dgm14:cNvPr xmlns:dgm14="http://schemas.microsoft.com/office/drawing/2010/diagram" id="0" name="" descr="Casilla marcada con relleno sólido"/>
        </a:ext>
      </dgm:extLst>
    </dgm:pt>
    <dgm:pt modelId="{4C9EB73B-0C71-4F34-B47F-B668A340E22C}" type="pres">
      <dgm:prSet presAssocID="{A7723BC4-40B0-4919-AC2F-4C4E0BA3D37E}" presName="sibTrans" presStyleCnt="0"/>
      <dgm:spPr/>
    </dgm:pt>
    <dgm:pt modelId="{5EC5921E-3712-44AF-9B98-BF9CC2FFA77B}" type="pres">
      <dgm:prSet presAssocID="{CE1DF186-7E47-4BBA-8DDB-9C8F451F80D7}" presName="composite" presStyleCnt="0"/>
      <dgm:spPr/>
    </dgm:pt>
    <dgm:pt modelId="{FD6790F8-4169-44EC-BA55-FADB6AF6B93D}" type="pres">
      <dgm:prSet presAssocID="{CE1DF186-7E47-4BBA-8DDB-9C8F451F80D7}" presName="rect1" presStyleLbl="trAlignAcc1" presStyleIdx="4" presStyleCnt="12">
        <dgm:presLayoutVars>
          <dgm:bulletEnabled val="1"/>
        </dgm:presLayoutVars>
      </dgm:prSet>
      <dgm:spPr/>
    </dgm:pt>
    <dgm:pt modelId="{ADFBFF37-9D52-492C-959A-04263E1EF1AB}" type="pres">
      <dgm:prSet presAssocID="{CE1DF186-7E47-4BBA-8DDB-9C8F451F80D7}" presName="rect2" presStyleLbl="fgImgPlace1" presStyleIdx="4" presStyleCnt="12"/>
      <dgm:spPr>
        <a:blipFill>
          <a:blip xmlns:r="http://schemas.openxmlformats.org/officeDocument/2006/relationships" r:embed="rId1">
            <a:extLst>
              <a:ext uri="{96DAC541-7B7A-43D3-8B79-37D633B846F1}">
                <asvg:svgBlip xmlns:asvg="http://schemas.microsoft.com/office/drawing/2016/SVG/main" r:embed="rId2"/>
              </a:ext>
            </a:extLst>
          </a:blip>
          <a:srcRect/>
          <a:stretch>
            <a:fillRect l="-25000" r="-25000"/>
          </a:stretch>
        </a:blipFill>
        <a:ln>
          <a:noFill/>
        </a:ln>
      </dgm:spPr>
      <dgm:extLst>
        <a:ext uri="{E40237B7-FDA0-4F09-8148-C483321AD2D9}">
          <dgm14:cNvPr xmlns:dgm14="http://schemas.microsoft.com/office/drawing/2010/diagram" id="0" name="" descr="Casilla marcada con relleno sólido"/>
        </a:ext>
      </dgm:extLst>
    </dgm:pt>
    <dgm:pt modelId="{48446CF2-6DB2-46DE-A040-B76F3341740D}" type="pres">
      <dgm:prSet presAssocID="{D5DAE63A-29D2-45C5-B347-DF6EA8204283}" presName="sibTrans" presStyleCnt="0"/>
      <dgm:spPr/>
    </dgm:pt>
    <dgm:pt modelId="{5E77A805-929F-4B8D-9BB0-9C152A528708}" type="pres">
      <dgm:prSet presAssocID="{4C78B57A-C897-41C7-8E34-BB16D1F76318}" presName="composite" presStyleCnt="0"/>
      <dgm:spPr/>
    </dgm:pt>
    <dgm:pt modelId="{7519264E-3454-43F5-9853-1C207CD49440}" type="pres">
      <dgm:prSet presAssocID="{4C78B57A-C897-41C7-8E34-BB16D1F76318}" presName="rect1" presStyleLbl="trAlignAcc1" presStyleIdx="5" presStyleCnt="12">
        <dgm:presLayoutVars>
          <dgm:bulletEnabled val="1"/>
        </dgm:presLayoutVars>
      </dgm:prSet>
      <dgm:spPr/>
    </dgm:pt>
    <dgm:pt modelId="{FF4E3AAC-C2E0-4068-92EA-E854C77B1F5B}" type="pres">
      <dgm:prSet presAssocID="{4C78B57A-C897-41C7-8E34-BB16D1F76318}" presName="rect2" presStyleLbl="fgImgPlace1" presStyleIdx="5" presStyleCnt="12"/>
      <dgm:spPr>
        <a:blipFill>
          <a:blip xmlns:r="http://schemas.openxmlformats.org/officeDocument/2006/relationships" r:embed="rId1">
            <a:extLst>
              <a:ext uri="{96DAC541-7B7A-43D3-8B79-37D633B846F1}">
                <asvg:svgBlip xmlns:asvg="http://schemas.microsoft.com/office/drawing/2016/SVG/main" r:embed="rId2"/>
              </a:ext>
            </a:extLst>
          </a:blip>
          <a:srcRect/>
          <a:stretch>
            <a:fillRect l="-25000" r="-25000"/>
          </a:stretch>
        </a:blipFill>
        <a:ln>
          <a:noFill/>
        </a:ln>
      </dgm:spPr>
      <dgm:extLst>
        <a:ext uri="{E40237B7-FDA0-4F09-8148-C483321AD2D9}">
          <dgm14:cNvPr xmlns:dgm14="http://schemas.microsoft.com/office/drawing/2010/diagram" id="0" name="" descr="Casilla marcada con relleno sólido"/>
        </a:ext>
      </dgm:extLst>
    </dgm:pt>
    <dgm:pt modelId="{1231CB56-2DC7-4087-BDD4-7F22F4451AE0}" type="pres">
      <dgm:prSet presAssocID="{C36B9E58-F4D1-46D6-9BD4-36C97D61CCDD}" presName="sibTrans" presStyleCnt="0"/>
      <dgm:spPr/>
    </dgm:pt>
    <dgm:pt modelId="{5AFB468B-7373-4C1D-A401-6FE1529D651B}" type="pres">
      <dgm:prSet presAssocID="{C5532B7C-37D9-4242-B7F9-10FD06126CA9}" presName="composite" presStyleCnt="0"/>
      <dgm:spPr/>
    </dgm:pt>
    <dgm:pt modelId="{BF18D364-DEC7-49ED-A7F5-C23BA1DA33D8}" type="pres">
      <dgm:prSet presAssocID="{C5532B7C-37D9-4242-B7F9-10FD06126CA9}" presName="rect1" presStyleLbl="trAlignAcc1" presStyleIdx="6" presStyleCnt="12">
        <dgm:presLayoutVars>
          <dgm:bulletEnabled val="1"/>
        </dgm:presLayoutVars>
      </dgm:prSet>
      <dgm:spPr/>
    </dgm:pt>
    <dgm:pt modelId="{A2EBFEE8-ED2F-402F-B9E8-287AFFF0184B}" type="pres">
      <dgm:prSet presAssocID="{C5532B7C-37D9-4242-B7F9-10FD06126CA9}" presName="rect2" presStyleLbl="fgImgPlace1" presStyleIdx="6" presStyleCnt="12"/>
      <dgm:spPr>
        <a:blipFill>
          <a:blip xmlns:r="http://schemas.openxmlformats.org/officeDocument/2006/relationships" r:embed="rId1">
            <a:extLst>
              <a:ext uri="{96DAC541-7B7A-43D3-8B79-37D633B846F1}">
                <asvg:svgBlip xmlns:asvg="http://schemas.microsoft.com/office/drawing/2016/SVG/main" r:embed="rId2"/>
              </a:ext>
            </a:extLst>
          </a:blip>
          <a:srcRect/>
          <a:stretch>
            <a:fillRect l="-25000" r="-25000"/>
          </a:stretch>
        </a:blipFill>
        <a:ln>
          <a:noFill/>
        </a:ln>
      </dgm:spPr>
      <dgm:extLst>
        <a:ext uri="{E40237B7-FDA0-4F09-8148-C483321AD2D9}">
          <dgm14:cNvPr xmlns:dgm14="http://schemas.microsoft.com/office/drawing/2010/diagram" id="0" name="" descr="Casilla marcada con relleno sólido"/>
        </a:ext>
      </dgm:extLst>
    </dgm:pt>
    <dgm:pt modelId="{E4318E43-8745-4133-9204-5FDCA0965F12}" type="pres">
      <dgm:prSet presAssocID="{D13F1E46-076E-4AE0-9CF6-DF2CD8F9D0A4}" presName="sibTrans" presStyleCnt="0"/>
      <dgm:spPr/>
    </dgm:pt>
    <dgm:pt modelId="{ED1163C7-6E62-4EA0-B93F-4F9CAB156E60}" type="pres">
      <dgm:prSet presAssocID="{C458A494-1080-498B-8DF9-9FFF40DF45C5}" presName="composite" presStyleCnt="0"/>
      <dgm:spPr/>
    </dgm:pt>
    <dgm:pt modelId="{88645A7F-8EE6-4F87-B6E2-B52696189553}" type="pres">
      <dgm:prSet presAssocID="{C458A494-1080-498B-8DF9-9FFF40DF45C5}" presName="rect1" presStyleLbl="trAlignAcc1" presStyleIdx="7" presStyleCnt="12">
        <dgm:presLayoutVars>
          <dgm:bulletEnabled val="1"/>
        </dgm:presLayoutVars>
      </dgm:prSet>
      <dgm:spPr/>
    </dgm:pt>
    <dgm:pt modelId="{2490F111-4900-41B2-A170-94E29978E1EF}" type="pres">
      <dgm:prSet presAssocID="{C458A494-1080-498B-8DF9-9FFF40DF45C5}" presName="rect2" presStyleLbl="fgImgPlace1" presStyleIdx="7" presStyleCnt="12"/>
      <dgm:spPr>
        <a:blipFill>
          <a:blip xmlns:r="http://schemas.openxmlformats.org/officeDocument/2006/relationships" r:embed="rId1">
            <a:extLst>
              <a:ext uri="{96DAC541-7B7A-43D3-8B79-37D633B846F1}">
                <asvg:svgBlip xmlns:asvg="http://schemas.microsoft.com/office/drawing/2016/SVG/main" r:embed="rId2"/>
              </a:ext>
            </a:extLst>
          </a:blip>
          <a:srcRect/>
          <a:stretch>
            <a:fillRect l="-25000" r="-25000"/>
          </a:stretch>
        </a:blipFill>
        <a:ln>
          <a:noFill/>
        </a:ln>
      </dgm:spPr>
      <dgm:extLst>
        <a:ext uri="{E40237B7-FDA0-4F09-8148-C483321AD2D9}">
          <dgm14:cNvPr xmlns:dgm14="http://schemas.microsoft.com/office/drawing/2010/diagram" id="0" name="" descr="Casilla marcada con relleno sólido"/>
        </a:ext>
      </dgm:extLst>
    </dgm:pt>
    <dgm:pt modelId="{EEBB67CD-D75A-490B-8330-BB429A2EF11B}" type="pres">
      <dgm:prSet presAssocID="{D4005355-3FFA-401C-ABD4-A3792833863A}" presName="sibTrans" presStyleCnt="0"/>
      <dgm:spPr/>
    </dgm:pt>
    <dgm:pt modelId="{382F02E9-1E23-481F-8A63-745E84D66B60}" type="pres">
      <dgm:prSet presAssocID="{70D3FB31-B1F3-4F4F-B8A7-38BC75DAEF5E}" presName="composite" presStyleCnt="0"/>
      <dgm:spPr/>
    </dgm:pt>
    <dgm:pt modelId="{F06E7008-95F3-4D90-95AD-C860F7C4C9B9}" type="pres">
      <dgm:prSet presAssocID="{70D3FB31-B1F3-4F4F-B8A7-38BC75DAEF5E}" presName="rect1" presStyleLbl="trAlignAcc1" presStyleIdx="8" presStyleCnt="12">
        <dgm:presLayoutVars>
          <dgm:bulletEnabled val="1"/>
        </dgm:presLayoutVars>
      </dgm:prSet>
      <dgm:spPr/>
    </dgm:pt>
    <dgm:pt modelId="{C63668B9-B233-4520-B9F2-0591AAA8B805}" type="pres">
      <dgm:prSet presAssocID="{70D3FB31-B1F3-4F4F-B8A7-38BC75DAEF5E}" presName="rect2" presStyleLbl="fgImgPlace1" presStyleIdx="8" presStyleCnt="12"/>
      <dgm:spPr>
        <a:blipFill>
          <a:blip xmlns:r="http://schemas.openxmlformats.org/officeDocument/2006/relationships" r:embed="rId1">
            <a:extLst>
              <a:ext uri="{96DAC541-7B7A-43D3-8B79-37D633B846F1}">
                <asvg:svgBlip xmlns:asvg="http://schemas.microsoft.com/office/drawing/2016/SVG/main" r:embed="rId2"/>
              </a:ext>
            </a:extLst>
          </a:blip>
          <a:srcRect/>
          <a:stretch>
            <a:fillRect l="-25000" r="-25000"/>
          </a:stretch>
        </a:blipFill>
        <a:ln>
          <a:noFill/>
        </a:ln>
      </dgm:spPr>
      <dgm:extLst>
        <a:ext uri="{E40237B7-FDA0-4F09-8148-C483321AD2D9}">
          <dgm14:cNvPr xmlns:dgm14="http://schemas.microsoft.com/office/drawing/2010/diagram" id="0" name="" descr="Casilla marcada con relleno sólido"/>
        </a:ext>
      </dgm:extLst>
    </dgm:pt>
    <dgm:pt modelId="{840F64D1-01F2-43AB-91D4-AA6FB24686B8}" type="pres">
      <dgm:prSet presAssocID="{D4B66D4E-E083-43FC-BD41-C90F869B52E8}" presName="sibTrans" presStyleCnt="0"/>
      <dgm:spPr/>
    </dgm:pt>
    <dgm:pt modelId="{9D5DD422-2217-4B66-B8AC-66B8FC4F1C19}" type="pres">
      <dgm:prSet presAssocID="{61D5383B-43E3-459D-BC7E-F08FA3655B30}" presName="composite" presStyleCnt="0"/>
      <dgm:spPr/>
    </dgm:pt>
    <dgm:pt modelId="{46E56D8F-C161-4019-AC4D-3004CB76D365}" type="pres">
      <dgm:prSet presAssocID="{61D5383B-43E3-459D-BC7E-F08FA3655B30}" presName="rect1" presStyleLbl="trAlignAcc1" presStyleIdx="9" presStyleCnt="12">
        <dgm:presLayoutVars>
          <dgm:bulletEnabled val="1"/>
        </dgm:presLayoutVars>
      </dgm:prSet>
      <dgm:spPr/>
    </dgm:pt>
    <dgm:pt modelId="{F2B69B38-21E3-4D29-A38D-25B56EB26CF3}" type="pres">
      <dgm:prSet presAssocID="{61D5383B-43E3-459D-BC7E-F08FA3655B30}" presName="rect2" presStyleLbl="fgImgPlace1" presStyleIdx="9" presStyleCnt="12"/>
      <dgm:spPr>
        <a:blipFill>
          <a:blip xmlns:r="http://schemas.openxmlformats.org/officeDocument/2006/relationships" r:embed="rId1">
            <a:extLst>
              <a:ext uri="{96DAC541-7B7A-43D3-8B79-37D633B846F1}">
                <asvg:svgBlip xmlns:asvg="http://schemas.microsoft.com/office/drawing/2016/SVG/main" r:embed="rId2"/>
              </a:ext>
            </a:extLst>
          </a:blip>
          <a:srcRect/>
          <a:stretch>
            <a:fillRect l="-25000" r="-25000"/>
          </a:stretch>
        </a:blipFill>
        <a:ln>
          <a:noFill/>
        </a:ln>
      </dgm:spPr>
      <dgm:extLst>
        <a:ext uri="{E40237B7-FDA0-4F09-8148-C483321AD2D9}">
          <dgm14:cNvPr xmlns:dgm14="http://schemas.microsoft.com/office/drawing/2010/diagram" id="0" name="" descr="Casilla marcada con relleno sólido"/>
        </a:ext>
      </dgm:extLst>
    </dgm:pt>
    <dgm:pt modelId="{E46521D6-4114-430C-9A67-1553068D441B}" type="pres">
      <dgm:prSet presAssocID="{C6BD79CC-89C2-485B-B889-F72CA2AF3CD0}" presName="sibTrans" presStyleCnt="0"/>
      <dgm:spPr/>
    </dgm:pt>
    <dgm:pt modelId="{42ECE204-6F61-4AA3-98CD-3B4071DAB99D}" type="pres">
      <dgm:prSet presAssocID="{6E083307-004C-446A-B4EF-BCA7130C3856}" presName="composite" presStyleCnt="0"/>
      <dgm:spPr/>
    </dgm:pt>
    <dgm:pt modelId="{0B2ED4D2-E0D5-4D01-81FF-45AB77DEE5C9}" type="pres">
      <dgm:prSet presAssocID="{6E083307-004C-446A-B4EF-BCA7130C3856}" presName="rect1" presStyleLbl="trAlignAcc1" presStyleIdx="10" presStyleCnt="12">
        <dgm:presLayoutVars>
          <dgm:bulletEnabled val="1"/>
        </dgm:presLayoutVars>
      </dgm:prSet>
      <dgm:spPr/>
    </dgm:pt>
    <dgm:pt modelId="{F2005425-1665-49C9-8824-D77D859AEB33}" type="pres">
      <dgm:prSet presAssocID="{6E083307-004C-446A-B4EF-BCA7130C3856}" presName="rect2" presStyleLbl="fgImgPlace1" presStyleIdx="10" presStyleCnt="12"/>
      <dgm:spPr>
        <a:blipFill>
          <a:blip xmlns:r="http://schemas.openxmlformats.org/officeDocument/2006/relationships" r:embed="rId1">
            <a:extLst>
              <a:ext uri="{96DAC541-7B7A-43D3-8B79-37D633B846F1}">
                <asvg:svgBlip xmlns:asvg="http://schemas.microsoft.com/office/drawing/2016/SVG/main" r:embed="rId2"/>
              </a:ext>
            </a:extLst>
          </a:blip>
          <a:srcRect/>
          <a:stretch>
            <a:fillRect l="-25000" r="-25000"/>
          </a:stretch>
        </a:blipFill>
        <a:ln>
          <a:noFill/>
        </a:ln>
      </dgm:spPr>
      <dgm:extLst>
        <a:ext uri="{E40237B7-FDA0-4F09-8148-C483321AD2D9}">
          <dgm14:cNvPr xmlns:dgm14="http://schemas.microsoft.com/office/drawing/2010/diagram" id="0" name="" descr="Casilla marcada con relleno sólido"/>
        </a:ext>
      </dgm:extLst>
    </dgm:pt>
    <dgm:pt modelId="{41670420-44F6-4F4C-9B09-DC7EC0BA94CB}" type="pres">
      <dgm:prSet presAssocID="{B23F4F1C-938B-4CBC-877B-288ECB93353B}" presName="sibTrans" presStyleCnt="0"/>
      <dgm:spPr/>
    </dgm:pt>
    <dgm:pt modelId="{9254225F-452C-45E8-A6D0-690ACD9C9A4A}" type="pres">
      <dgm:prSet presAssocID="{90CF2AAE-03EE-4D44-A6F4-C9296A4AE0F3}" presName="composite" presStyleCnt="0"/>
      <dgm:spPr/>
    </dgm:pt>
    <dgm:pt modelId="{8F04BF01-16EC-4B37-9C31-18B678E16EBB}" type="pres">
      <dgm:prSet presAssocID="{90CF2AAE-03EE-4D44-A6F4-C9296A4AE0F3}" presName="rect1" presStyleLbl="trAlignAcc1" presStyleIdx="11" presStyleCnt="12">
        <dgm:presLayoutVars>
          <dgm:bulletEnabled val="1"/>
        </dgm:presLayoutVars>
      </dgm:prSet>
      <dgm:spPr/>
    </dgm:pt>
    <dgm:pt modelId="{1A39AB5F-9B86-4C73-A350-20B2DC181D33}" type="pres">
      <dgm:prSet presAssocID="{90CF2AAE-03EE-4D44-A6F4-C9296A4AE0F3}" presName="rect2" presStyleLbl="fgImgPlace1" presStyleIdx="11" presStyleCnt="12"/>
      <dgm:spPr>
        <a:blipFill>
          <a:blip xmlns:r="http://schemas.openxmlformats.org/officeDocument/2006/relationships" r:embed="rId1">
            <a:extLst>
              <a:ext uri="{96DAC541-7B7A-43D3-8B79-37D633B846F1}">
                <asvg:svgBlip xmlns:asvg="http://schemas.microsoft.com/office/drawing/2016/SVG/main" r:embed="rId2"/>
              </a:ext>
            </a:extLst>
          </a:blip>
          <a:srcRect/>
          <a:stretch>
            <a:fillRect l="-25000" r="-25000"/>
          </a:stretch>
        </a:blipFill>
        <a:ln>
          <a:noFill/>
        </a:ln>
      </dgm:spPr>
      <dgm:extLst>
        <a:ext uri="{E40237B7-FDA0-4F09-8148-C483321AD2D9}">
          <dgm14:cNvPr xmlns:dgm14="http://schemas.microsoft.com/office/drawing/2010/diagram" id="0" name="" descr="Casilla marcada con relleno sólido"/>
        </a:ext>
      </dgm:extLst>
    </dgm:pt>
  </dgm:ptLst>
  <dgm:cxnLst>
    <dgm:cxn modelId="{567DA50A-64E9-4908-A313-34745E82B8F7}" srcId="{A610B521-1E33-4F41-A353-D73E87D9A379}" destId="{70D3FB31-B1F3-4F4F-B8A7-38BC75DAEF5E}" srcOrd="8" destOrd="0" parTransId="{9E154B0A-0175-493C-A8BD-B08B08283D74}" sibTransId="{D4B66D4E-E083-43FC-BD41-C90F869B52E8}"/>
    <dgm:cxn modelId="{1F5EA010-A859-42E0-89E5-E222BE29E4C6}" type="presOf" srcId="{C458A494-1080-498B-8DF9-9FFF40DF45C5}" destId="{88645A7F-8EE6-4F87-B6E2-B52696189553}" srcOrd="0" destOrd="0" presId="urn:microsoft.com/office/officeart/2008/layout/PictureStrips"/>
    <dgm:cxn modelId="{C8F1262A-3649-447E-ADD2-E49A37413491}" srcId="{A610B521-1E33-4F41-A353-D73E87D9A379}" destId="{9DEDFE34-6AE2-4D08-AABA-EA432BDC8CE3}" srcOrd="1" destOrd="0" parTransId="{61636803-4E61-4DC4-A803-238FAD53D2B5}" sibTransId="{A708379B-F281-4192-AA12-3BDC62A266B3}"/>
    <dgm:cxn modelId="{0F32285B-D64B-437E-86A8-054E4B99780B}" type="presOf" srcId="{CE1DF186-7E47-4BBA-8DDB-9C8F451F80D7}" destId="{FD6790F8-4169-44EC-BA55-FADB6AF6B93D}" srcOrd="0" destOrd="0" presId="urn:microsoft.com/office/officeart/2008/layout/PictureStrips"/>
    <dgm:cxn modelId="{D80EA741-7A03-4BCE-B2E0-33E726E6C915}" type="presOf" srcId="{61D5383B-43E3-459D-BC7E-F08FA3655B30}" destId="{46E56D8F-C161-4019-AC4D-3004CB76D365}" srcOrd="0" destOrd="0" presId="urn:microsoft.com/office/officeart/2008/layout/PictureStrips"/>
    <dgm:cxn modelId="{9611F26C-11BB-410B-8D65-A402E356E161}" type="presOf" srcId="{4C78B57A-C897-41C7-8E34-BB16D1F76318}" destId="{7519264E-3454-43F5-9853-1C207CD49440}" srcOrd="0" destOrd="0" presId="urn:microsoft.com/office/officeart/2008/layout/PictureStrips"/>
    <dgm:cxn modelId="{36B94256-8954-4FC9-B539-7CBA0B9F08E2}" srcId="{A610B521-1E33-4F41-A353-D73E87D9A379}" destId="{5866E8F0-ADA0-4D6F-90FC-2839D6A69F87}" srcOrd="2" destOrd="0" parTransId="{3856827E-80E8-424E-9DF8-2D25193F9710}" sibTransId="{286D0BE6-B064-4EB7-840F-FC5EB139A212}"/>
    <dgm:cxn modelId="{08D81C7C-772F-48C7-8C7B-61E3A257F6A5}" type="presOf" srcId="{5866E8F0-ADA0-4D6F-90FC-2839D6A69F87}" destId="{4BFDA4DA-7ABD-4C06-AA3B-B8422E71F4D5}" srcOrd="0" destOrd="0" presId="urn:microsoft.com/office/officeart/2008/layout/PictureStrips"/>
    <dgm:cxn modelId="{0CCDD881-72DA-4E48-839A-36154368A448}" type="presOf" srcId="{90CF2AAE-03EE-4D44-A6F4-C9296A4AE0F3}" destId="{8F04BF01-16EC-4B37-9C31-18B678E16EBB}" srcOrd="0" destOrd="0" presId="urn:microsoft.com/office/officeart/2008/layout/PictureStrips"/>
    <dgm:cxn modelId="{01B6E182-C2F8-473F-8E3F-10B5E8F38C4A}" srcId="{A610B521-1E33-4F41-A353-D73E87D9A379}" destId="{61D5383B-43E3-459D-BC7E-F08FA3655B30}" srcOrd="9" destOrd="0" parTransId="{03F1CF50-5B10-405B-9F11-4578A2AC7D8E}" sibTransId="{C6BD79CC-89C2-485B-B889-F72CA2AF3CD0}"/>
    <dgm:cxn modelId="{60030F84-56FC-4086-8320-672535D68FD1}" type="presOf" srcId="{A90A416C-0F9E-4030-90A8-CC225739B034}" destId="{BE89E32D-8474-4A98-AC0B-31BA38569B33}" srcOrd="0" destOrd="0" presId="urn:microsoft.com/office/officeart/2008/layout/PictureStrips"/>
    <dgm:cxn modelId="{B754E789-73E7-41D6-9068-EF3F7E0678ED}" srcId="{A610B521-1E33-4F41-A353-D73E87D9A379}" destId="{50CA6F0B-F5B9-40EB-87AB-C663EAFE5BA4}" srcOrd="3" destOrd="0" parTransId="{BC46453D-97D2-450A-9364-5BD724F05C6F}" sibTransId="{A7723BC4-40B0-4919-AC2F-4C4E0BA3D37E}"/>
    <dgm:cxn modelId="{F5B4098B-D32C-4FD6-9719-01C2FF46D721}" type="presOf" srcId="{C5532B7C-37D9-4242-B7F9-10FD06126CA9}" destId="{BF18D364-DEC7-49ED-A7F5-C23BA1DA33D8}" srcOrd="0" destOrd="0" presId="urn:microsoft.com/office/officeart/2008/layout/PictureStrips"/>
    <dgm:cxn modelId="{CA1C9693-75CD-4766-AFEA-733F7F5D6D1D}" type="presOf" srcId="{A610B521-1E33-4F41-A353-D73E87D9A379}" destId="{EDCE2C94-F10C-41BA-9EF9-C223523ABB2E}" srcOrd="0" destOrd="0" presId="urn:microsoft.com/office/officeart/2008/layout/PictureStrips"/>
    <dgm:cxn modelId="{43C68496-6601-4C6F-AA7A-F4FE0D88E575}" srcId="{A610B521-1E33-4F41-A353-D73E87D9A379}" destId="{C5532B7C-37D9-4242-B7F9-10FD06126CA9}" srcOrd="6" destOrd="0" parTransId="{C4219EC6-044B-4337-9887-855DC5048D9A}" sibTransId="{D13F1E46-076E-4AE0-9CF6-DF2CD8F9D0A4}"/>
    <dgm:cxn modelId="{54433499-8838-4DBB-8CCD-6BCAA9C9CBC1}" type="presOf" srcId="{70D3FB31-B1F3-4F4F-B8A7-38BC75DAEF5E}" destId="{F06E7008-95F3-4D90-95AD-C860F7C4C9B9}" srcOrd="0" destOrd="0" presId="urn:microsoft.com/office/officeart/2008/layout/PictureStrips"/>
    <dgm:cxn modelId="{9B4A9DB1-E83D-4D3B-B74F-A66E4D1661A0}" srcId="{A610B521-1E33-4F41-A353-D73E87D9A379}" destId="{A90A416C-0F9E-4030-90A8-CC225739B034}" srcOrd="0" destOrd="0" parTransId="{47932B69-7095-4F55-AC50-83BE980BC78A}" sibTransId="{B809D541-7BE6-455C-864D-4228C03ED5C1}"/>
    <dgm:cxn modelId="{B8E8BCB4-510D-4D08-A4F0-379D861EAD08}" srcId="{A610B521-1E33-4F41-A353-D73E87D9A379}" destId="{6E083307-004C-446A-B4EF-BCA7130C3856}" srcOrd="10" destOrd="0" parTransId="{18166377-5625-4C01-8873-43A2C9FA4FE0}" sibTransId="{B23F4F1C-938B-4CBC-877B-288ECB93353B}"/>
    <dgm:cxn modelId="{74A935C2-BC22-47AD-B925-B7F798A9BB22}" srcId="{A610B521-1E33-4F41-A353-D73E87D9A379}" destId="{4C78B57A-C897-41C7-8E34-BB16D1F76318}" srcOrd="5" destOrd="0" parTransId="{36543227-D8BE-4A73-A4BE-3BD9B052052E}" sibTransId="{C36B9E58-F4D1-46D6-9BD4-36C97D61CCDD}"/>
    <dgm:cxn modelId="{87A0CEC4-A743-4DBD-8721-02B0B4EEADDB}" srcId="{A610B521-1E33-4F41-A353-D73E87D9A379}" destId="{CE1DF186-7E47-4BBA-8DDB-9C8F451F80D7}" srcOrd="4" destOrd="0" parTransId="{85B84F8F-6DB7-45D6-9BAC-BC340F3D298B}" sibTransId="{D5DAE63A-29D2-45C5-B347-DF6EA8204283}"/>
    <dgm:cxn modelId="{F86447C5-92DD-448E-8DC6-F7CBF27F63A3}" srcId="{A610B521-1E33-4F41-A353-D73E87D9A379}" destId="{C458A494-1080-498B-8DF9-9FFF40DF45C5}" srcOrd="7" destOrd="0" parTransId="{C27256B4-2458-4EBA-9486-B38F03A45120}" sibTransId="{D4005355-3FFA-401C-ABD4-A3792833863A}"/>
    <dgm:cxn modelId="{661D9DCC-5342-444B-9BC6-C9EFB68F99B3}" type="presOf" srcId="{50CA6F0B-F5B9-40EB-87AB-C663EAFE5BA4}" destId="{6A8E1776-97BA-4E1C-ACFA-31903E8E296A}" srcOrd="0" destOrd="0" presId="urn:microsoft.com/office/officeart/2008/layout/PictureStrips"/>
    <dgm:cxn modelId="{78907EDC-E117-4DF2-9898-C718633A6CBC}" srcId="{A610B521-1E33-4F41-A353-D73E87D9A379}" destId="{90CF2AAE-03EE-4D44-A6F4-C9296A4AE0F3}" srcOrd="11" destOrd="0" parTransId="{A97A906D-5CD7-4C19-B116-2543D76B71DC}" sibTransId="{D7F806EB-A5D4-4138-A076-55A38683DA99}"/>
    <dgm:cxn modelId="{EF2B37F7-A3EA-4C9D-9EAE-2CDE26855DE6}" type="presOf" srcId="{9DEDFE34-6AE2-4D08-AABA-EA432BDC8CE3}" destId="{BF710F2F-BE65-40ED-89A4-768D54589ADE}" srcOrd="0" destOrd="0" presId="urn:microsoft.com/office/officeart/2008/layout/PictureStrips"/>
    <dgm:cxn modelId="{DFBBA3FE-0FAB-4704-9161-2C4C74445574}" type="presOf" srcId="{6E083307-004C-446A-B4EF-BCA7130C3856}" destId="{0B2ED4D2-E0D5-4D01-81FF-45AB77DEE5C9}" srcOrd="0" destOrd="0" presId="urn:microsoft.com/office/officeart/2008/layout/PictureStrips"/>
    <dgm:cxn modelId="{CF1B157A-067E-4ACC-96AA-02E1A4E9CA12}" type="presParOf" srcId="{EDCE2C94-F10C-41BA-9EF9-C223523ABB2E}" destId="{9A7219BC-E587-4728-AB92-C0B2238F71D7}" srcOrd="0" destOrd="0" presId="urn:microsoft.com/office/officeart/2008/layout/PictureStrips"/>
    <dgm:cxn modelId="{5EA5C65E-51B1-4C6D-B308-D7232C59E89F}" type="presParOf" srcId="{9A7219BC-E587-4728-AB92-C0B2238F71D7}" destId="{BE89E32D-8474-4A98-AC0B-31BA38569B33}" srcOrd="0" destOrd="0" presId="urn:microsoft.com/office/officeart/2008/layout/PictureStrips"/>
    <dgm:cxn modelId="{C29736D2-FC9E-4427-BC4C-E24B7424D29B}" type="presParOf" srcId="{9A7219BC-E587-4728-AB92-C0B2238F71D7}" destId="{0BF35936-01FB-4F2F-A831-D78DC8E784E4}" srcOrd="1" destOrd="0" presId="urn:microsoft.com/office/officeart/2008/layout/PictureStrips"/>
    <dgm:cxn modelId="{CD79F3AF-CBD6-46AE-B6A9-ADDE1384E644}" type="presParOf" srcId="{EDCE2C94-F10C-41BA-9EF9-C223523ABB2E}" destId="{4AD72223-B793-49CE-A4D3-0868FB68BCB7}" srcOrd="1" destOrd="0" presId="urn:microsoft.com/office/officeart/2008/layout/PictureStrips"/>
    <dgm:cxn modelId="{EE114C9B-5862-47CF-82D8-1C9CBB9C3081}" type="presParOf" srcId="{EDCE2C94-F10C-41BA-9EF9-C223523ABB2E}" destId="{D434F1FD-930C-4AF8-919C-6ED0CF1E6E4D}" srcOrd="2" destOrd="0" presId="urn:microsoft.com/office/officeart/2008/layout/PictureStrips"/>
    <dgm:cxn modelId="{49AA2139-8712-4D4F-8867-2A2C4EC0D68D}" type="presParOf" srcId="{D434F1FD-930C-4AF8-919C-6ED0CF1E6E4D}" destId="{BF710F2F-BE65-40ED-89A4-768D54589ADE}" srcOrd="0" destOrd="0" presId="urn:microsoft.com/office/officeart/2008/layout/PictureStrips"/>
    <dgm:cxn modelId="{18302F96-0B77-4A18-B1F6-36115DC66043}" type="presParOf" srcId="{D434F1FD-930C-4AF8-919C-6ED0CF1E6E4D}" destId="{163BE0FD-A18D-43ED-9F7D-D124EE4D116E}" srcOrd="1" destOrd="0" presId="urn:microsoft.com/office/officeart/2008/layout/PictureStrips"/>
    <dgm:cxn modelId="{367931C8-9B92-43C9-8120-00FE536C97C0}" type="presParOf" srcId="{EDCE2C94-F10C-41BA-9EF9-C223523ABB2E}" destId="{CAA83DE2-13DB-41AE-8C72-72863FA4AEAF}" srcOrd="3" destOrd="0" presId="urn:microsoft.com/office/officeart/2008/layout/PictureStrips"/>
    <dgm:cxn modelId="{66834386-5E44-4D6D-AEBF-EDFD6E4159DD}" type="presParOf" srcId="{EDCE2C94-F10C-41BA-9EF9-C223523ABB2E}" destId="{5C132411-FC2E-409C-BFCF-D689E26C8E70}" srcOrd="4" destOrd="0" presId="urn:microsoft.com/office/officeart/2008/layout/PictureStrips"/>
    <dgm:cxn modelId="{A118BAD8-3A74-4FD6-A2E3-E7967F84315A}" type="presParOf" srcId="{5C132411-FC2E-409C-BFCF-D689E26C8E70}" destId="{4BFDA4DA-7ABD-4C06-AA3B-B8422E71F4D5}" srcOrd="0" destOrd="0" presId="urn:microsoft.com/office/officeart/2008/layout/PictureStrips"/>
    <dgm:cxn modelId="{24A07E24-A0F4-4C96-A343-E55A57944DC6}" type="presParOf" srcId="{5C132411-FC2E-409C-BFCF-D689E26C8E70}" destId="{2F3107E0-BB9F-4740-B223-D283333C0BB0}" srcOrd="1" destOrd="0" presId="urn:microsoft.com/office/officeart/2008/layout/PictureStrips"/>
    <dgm:cxn modelId="{F7EC8F7E-2689-453B-B475-1E407A48D91B}" type="presParOf" srcId="{EDCE2C94-F10C-41BA-9EF9-C223523ABB2E}" destId="{BB69EC42-3F57-4AAE-9AE4-2A1A83B0308F}" srcOrd="5" destOrd="0" presId="urn:microsoft.com/office/officeart/2008/layout/PictureStrips"/>
    <dgm:cxn modelId="{CEB2F908-3693-46E4-AB15-FC19A4CBF059}" type="presParOf" srcId="{EDCE2C94-F10C-41BA-9EF9-C223523ABB2E}" destId="{8A11983C-8D9C-4EA3-A3B8-E5B0B2C39C08}" srcOrd="6" destOrd="0" presId="urn:microsoft.com/office/officeart/2008/layout/PictureStrips"/>
    <dgm:cxn modelId="{8FFCA25C-7943-44AE-BA2A-41B0E133BFFF}" type="presParOf" srcId="{8A11983C-8D9C-4EA3-A3B8-E5B0B2C39C08}" destId="{6A8E1776-97BA-4E1C-ACFA-31903E8E296A}" srcOrd="0" destOrd="0" presId="urn:microsoft.com/office/officeart/2008/layout/PictureStrips"/>
    <dgm:cxn modelId="{55269078-CFDD-4FDA-B8BA-34EF22EF67B4}" type="presParOf" srcId="{8A11983C-8D9C-4EA3-A3B8-E5B0B2C39C08}" destId="{B03E81CE-B445-434E-AAE8-C140B1367CFE}" srcOrd="1" destOrd="0" presId="urn:microsoft.com/office/officeart/2008/layout/PictureStrips"/>
    <dgm:cxn modelId="{E0230B54-648D-4D42-A8CE-4658B890D7D7}" type="presParOf" srcId="{EDCE2C94-F10C-41BA-9EF9-C223523ABB2E}" destId="{4C9EB73B-0C71-4F34-B47F-B668A340E22C}" srcOrd="7" destOrd="0" presId="urn:microsoft.com/office/officeart/2008/layout/PictureStrips"/>
    <dgm:cxn modelId="{6B5380D0-968E-43BB-B8BE-A7248E7E3999}" type="presParOf" srcId="{EDCE2C94-F10C-41BA-9EF9-C223523ABB2E}" destId="{5EC5921E-3712-44AF-9B98-BF9CC2FFA77B}" srcOrd="8" destOrd="0" presId="urn:microsoft.com/office/officeart/2008/layout/PictureStrips"/>
    <dgm:cxn modelId="{F6AB0A13-EC3D-47EC-BC51-C139DEE32CB5}" type="presParOf" srcId="{5EC5921E-3712-44AF-9B98-BF9CC2FFA77B}" destId="{FD6790F8-4169-44EC-BA55-FADB6AF6B93D}" srcOrd="0" destOrd="0" presId="urn:microsoft.com/office/officeart/2008/layout/PictureStrips"/>
    <dgm:cxn modelId="{2FC7C60C-AA27-4AC1-B9B3-BA989C90825D}" type="presParOf" srcId="{5EC5921E-3712-44AF-9B98-BF9CC2FFA77B}" destId="{ADFBFF37-9D52-492C-959A-04263E1EF1AB}" srcOrd="1" destOrd="0" presId="urn:microsoft.com/office/officeart/2008/layout/PictureStrips"/>
    <dgm:cxn modelId="{74961BCC-365B-46E9-9E6C-017C05FFCCBC}" type="presParOf" srcId="{EDCE2C94-F10C-41BA-9EF9-C223523ABB2E}" destId="{48446CF2-6DB2-46DE-A040-B76F3341740D}" srcOrd="9" destOrd="0" presId="urn:microsoft.com/office/officeart/2008/layout/PictureStrips"/>
    <dgm:cxn modelId="{AC2D24F8-25F7-4F56-BC17-8334D7BB9120}" type="presParOf" srcId="{EDCE2C94-F10C-41BA-9EF9-C223523ABB2E}" destId="{5E77A805-929F-4B8D-9BB0-9C152A528708}" srcOrd="10" destOrd="0" presId="urn:microsoft.com/office/officeart/2008/layout/PictureStrips"/>
    <dgm:cxn modelId="{173DA308-3705-4296-B078-3D5401610125}" type="presParOf" srcId="{5E77A805-929F-4B8D-9BB0-9C152A528708}" destId="{7519264E-3454-43F5-9853-1C207CD49440}" srcOrd="0" destOrd="0" presId="urn:microsoft.com/office/officeart/2008/layout/PictureStrips"/>
    <dgm:cxn modelId="{7BE7CF18-6A2D-4A5E-80D1-4FA81539FFA0}" type="presParOf" srcId="{5E77A805-929F-4B8D-9BB0-9C152A528708}" destId="{FF4E3AAC-C2E0-4068-92EA-E854C77B1F5B}" srcOrd="1" destOrd="0" presId="urn:microsoft.com/office/officeart/2008/layout/PictureStrips"/>
    <dgm:cxn modelId="{D061AF7B-B8B0-42D3-8BAC-C2DBAEFAFE32}" type="presParOf" srcId="{EDCE2C94-F10C-41BA-9EF9-C223523ABB2E}" destId="{1231CB56-2DC7-4087-BDD4-7F22F4451AE0}" srcOrd="11" destOrd="0" presId="urn:microsoft.com/office/officeart/2008/layout/PictureStrips"/>
    <dgm:cxn modelId="{447457A8-4967-4902-85FD-BAA48910226A}" type="presParOf" srcId="{EDCE2C94-F10C-41BA-9EF9-C223523ABB2E}" destId="{5AFB468B-7373-4C1D-A401-6FE1529D651B}" srcOrd="12" destOrd="0" presId="urn:microsoft.com/office/officeart/2008/layout/PictureStrips"/>
    <dgm:cxn modelId="{2D003BBA-4101-4916-B628-25E6EA3559DD}" type="presParOf" srcId="{5AFB468B-7373-4C1D-A401-6FE1529D651B}" destId="{BF18D364-DEC7-49ED-A7F5-C23BA1DA33D8}" srcOrd="0" destOrd="0" presId="urn:microsoft.com/office/officeart/2008/layout/PictureStrips"/>
    <dgm:cxn modelId="{4EBC2703-03CA-4F07-A4D8-98871CE0E1BD}" type="presParOf" srcId="{5AFB468B-7373-4C1D-A401-6FE1529D651B}" destId="{A2EBFEE8-ED2F-402F-B9E8-287AFFF0184B}" srcOrd="1" destOrd="0" presId="urn:microsoft.com/office/officeart/2008/layout/PictureStrips"/>
    <dgm:cxn modelId="{3B817686-7291-41E4-8430-CF39031402AC}" type="presParOf" srcId="{EDCE2C94-F10C-41BA-9EF9-C223523ABB2E}" destId="{E4318E43-8745-4133-9204-5FDCA0965F12}" srcOrd="13" destOrd="0" presId="urn:microsoft.com/office/officeart/2008/layout/PictureStrips"/>
    <dgm:cxn modelId="{9E557740-49A7-411F-B540-7A37E2A68A37}" type="presParOf" srcId="{EDCE2C94-F10C-41BA-9EF9-C223523ABB2E}" destId="{ED1163C7-6E62-4EA0-B93F-4F9CAB156E60}" srcOrd="14" destOrd="0" presId="urn:microsoft.com/office/officeart/2008/layout/PictureStrips"/>
    <dgm:cxn modelId="{B61E3727-861B-4F14-90A1-81CACCF74347}" type="presParOf" srcId="{ED1163C7-6E62-4EA0-B93F-4F9CAB156E60}" destId="{88645A7F-8EE6-4F87-B6E2-B52696189553}" srcOrd="0" destOrd="0" presId="urn:microsoft.com/office/officeart/2008/layout/PictureStrips"/>
    <dgm:cxn modelId="{BADEFD5F-992C-409F-B2C3-D3B9150A1CCE}" type="presParOf" srcId="{ED1163C7-6E62-4EA0-B93F-4F9CAB156E60}" destId="{2490F111-4900-41B2-A170-94E29978E1EF}" srcOrd="1" destOrd="0" presId="urn:microsoft.com/office/officeart/2008/layout/PictureStrips"/>
    <dgm:cxn modelId="{0BF3CE57-2D51-47F2-9139-F2CE530A9D3C}" type="presParOf" srcId="{EDCE2C94-F10C-41BA-9EF9-C223523ABB2E}" destId="{EEBB67CD-D75A-490B-8330-BB429A2EF11B}" srcOrd="15" destOrd="0" presId="urn:microsoft.com/office/officeart/2008/layout/PictureStrips"/>
    <dgm:cxn modelId="{DE0A0618-5127-496E-80B5-170C57792DA0}" type="presParOf" srcId="{EDCE2C94-F10C-41BA-9EF9-C223523ABB2E}" destId="{382F02E9-1E23-481F-8A63-745E84D66B60}" srcOrd="16" destOrd="0" presId="urn:microsoft.com/office/officeart/2008/layout/PictureStrips"/>
    <dgm:cxn modelId="{DE9BBB38-3681-4361-B0F7-B5837BB81981}" type="presParOf" srcId="{382F02E9-1E23-481F-8A63-745E84D66B60}" destId="{F06E7008-95F3-4D90-95AD-C860F7C4C9B9}" srcOrd="0" destOrd="0" presId="urn:microsoft.com/office/officeart/2008/layout/PictureStrips"/>
    <dgm:cxn modelId="{1F0482AF-0BD6-4B94-970B-83EA86229F20}" type="presParOf" srcId="{382F02E9-1E23-481F-8A63-745E84D66B60}" destId="{C63668B9-B233-4520-B9F2-0591AAA8B805}" srcOrd="1" destOrd="0" presId="urn:microsoft.com/office/officeart/2008/layout/PictureStrips"/>
    <dgm:cxn modelId="{6BEB920E-1765-4518-BAEE-F3ACD4DB4444}" type="presParOf" srcId="{EDCE2C94-F10C-41BA-9EF9-C223523ABB2E}" destId="{840F64D1-01F2-43AB-91D4-AA6FB24686B8}" srcOrd="17" destOrd="0" presId="urn:microsoft.com/office/officeart/2008/layout/PictureStrips"/>
    <dgm:cxn modelId="{E5FF80C0-5B48-4F1B-B213-01A939460119}" type="presParOf" srcId="{EDCE2C94-F10C-41BA-9EF9-C223523ABB2E}" destId="{9D5DD422-2217-4B66-B8AC-66B8FC4F1C19}" srcOrd="18" destOrd="0" presId="urn:microsoft.com/office/officeart/2008/layout/PictureStrips"/>
    <dgm:cxn modelId="{3670F65F-9C4D-4883-8C42-E96092FDC09D}" type="presParOf" srcId="{9D5DD422-2217-4B66-B8AC-66B8FC4F1C19}" destId="{46E56D8F-C161-4019-AC4D-3004CB76D365}" srcOrd="0" destOrd="0" presId="urn:microsoft.com/office/officeart/2008/layout/PictureStrips"/>
    <dgm:cxn modelId="{E7DF3368-574A-45F5-ACAE-075B6E9C277E}" type="presParOf" srcId="{9D5DD422-2217-4B66-B8AC-66B8FC4F1C19}" destId="{F2B69B38-21E3-4D29-A38D-25B56EB26CF3}" srcOrd="1" destOrd="0" presId="urn:microsoft.com/office/officeart/2008/layout/PictureStrips"/>
    <dgm:cxn modelId="{075D8378-2267-4DD6-A9AB-798AEBC13D24}" type="presParOf" srcId="{EDCE2C94-F10C-41BA-9EF9-C223523ABB2E}" destId="{E46521D6-4114-430C-9A67-1553068D441B}" srcOrd="19" destOrd="0" presId="urn:microsoft.com/office/officeart/2008/layout/PictureStrips"/>
    <dgm:cxn modelId="{295A7ED3-8BAA-44C8-B6C7-21A095233851}" type="presParOf" srcId="{EDCE2C94-F10C-41BA-9EF9-C223523ABB2E}" destId="{42ECE204-6F61-4AA3-98CD-3B4071DAB99D}" srcOrd="20" destOrd="0" presId="urn:microsoft.com/office/officeart/2008/layout/PictureStrips"/>
    <dgm:cxn modelId="{7B690D5E-E622-4B19-B4B3-7187A2A0376A}" type="presParOf" srcId="{42ECE204-6F61-4AA3-98CD-3B4071DAB99D}" destId="{0B2ED4D2-E0D5-4D01-81FF-45AB77DEE5C9}" srcOrd="0" destOrd="0" presId="urn:microsoft.com/office/officeart/2008/layout/PictureStrips"/>
    <dgm:cxn modelId="{9814FD77-102A-42E5-8D07-D78563446456}" type="presParOf" srcId="{42ECE204-6F61-4AA3-98CD-3B4071DAB99D}" destId="{F2005425-1665-49C9-8824-D77D859AEB33}" srcOrd="1" destOrd="0" presId="urn:microsoft.com/office/officeart/2008/layout/PictureStrips"/>
    <dgm:cxn modelId="{6F87841B-E9E8-4B77-908B-7E996BE2F72E}" type="presParOf" srcId="{EDCE2C94-F10C-41BA-9EF9-C223523ABB2E}" destId="{41670420-44F6-4F4C-9B09-DC7EC0BA94CB}" srcOrd="21" destOrd="0" presId="urn:microsoft.com/office/officeart/2008/layout/PictureStrips"/>
    <dgm:cxn modelId="{EA41E8CC-D7AB-4B83-9BC2-A9E1DCF419D1}" type="presParOf" srcId="{EDCE2C94-F10C-41BA-9EF9-C223523ABB2E}" destId="{9254225F-452C-45E8-A6D0-690ACD9C9A4A}" srcOrd="22" destOrd="0" presId="urn:microsoft.com/office/officeart/2008/layout/PictureStrips"/>
    <dgm:cxn modelId="{63FBB9C4-64C9-4372-80B9-4EFFC26C1988}" type="presParOf" srcId="{9254225F-452C-45E8-A6D0-690ACD9C9A4A}" destId="{8F04BF01-16EC-4B37-9C31-18B678E16EBB}" srcOrd="0" destOrd="0" presId="urn:microsoft.com/office/officeart/2008/layout/PictureStrips"/>
    <dgm:cxn modelId="{1240721F-3F08-4798-89AC-F6617BCC20FF}" type="presParOf" srcId="{9254225F-452C-45E8-A6D0-690ACD9C9A4A}" destId="{1A39AB5F-9B86-4C73-A350-20B2DC181D33}" srcOrd="1" destOrd="0" presId="urn:microsoft.com/office/officeart/2008/layout/PictureStrips"/>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C3E64F2-4861-41E9-8CBD-AD431448BE3B}" type="doc">
      <dgm:prSet loTypeId="urn:microsoft.com/office/officeart/2005/8/layout/hList2" loCatId="list" qsTypeId="urn:microsoft.com/office/officeart/2005/8/quickstyle/simple1" qsCatId="simple" csTypeId="urn:microsoft.com/office/officeart/2005/8/colors/colorful5" csCatId="colorful" phldr="1"/>
      <dgm:spPr/>
      <dgm:t>
        <a:bodyPr/>
        <a:lstStyle/>
        <a:p>
          <a:endParaRPr lang="es-CR"/>
        </a:p>
      </dgm:t>
    </dgm:pt>
    <dgm:pt modelId="{23DD08B0-4B15-4323-BF97-409BACE7DC07}">
      <dgm:prSet phldrT="[Texto]"/>
      <dgm:spPr/>
      <dgm:t>
        <a:bodyPr/>
        <a:lstStyle/>
        <a:p>
          <a:r>
            <a:rPr lang="es-CR"/>
            <a:t>Bioeconomía</a:t>
          </a:r>
        </a:p>
      </dgm:t>
    </dgm:pt>
    <dgm:pt modelId="{582255BB-E4BD-487C-AF09-FA333B9E205D}" type="parTrans" cxnId="{60B5EA11-471D-442A-A4EC-A9C7864DA193}">
      <dgm:prSet/>
      <dgm:spPr/>
      <dgm:t>
        <a:bodyPr/>
        <a:lstStyle/>
        <a:p>
          <a:endParaRPr lang="es-CR"/>
        </a:p>
      </dgm:t>
    </dgm:pt>
    <dgm:pt modelId="{DAEFF7FA-8049-4782-BFD3-19FC810A9D81}" type="sibTrans" cxnId="{60B5EA11-471D-442A-A4EC-A9C7864DA193}">
      <dgm:prSet/>
      <dgm:spPr/>
      <dgm:t>
        <a:bodyPr/>
        <a:lstStyle/>
        <a:p>
          <a:endParaRPr lang="es-CR"/>
        </a:p>
      </dgm:t>
    </dgm:pt>
    <dgm:pt modelId="{D925F568-FA3A-4BCE-A6EE-FCA1B32FE555}">
      <dgm:prSet phldrT="[Texto]"/>
      <dgm:spPr/>
      <dgm:t>
        <a:bodyPr/>
        <a:lstStyle/>
        <a:p>
          <a:r>
            <a:rPr lang="es-CR"/>
            <a:t>Conservación de biodiversidad</a:t>
          </a:r>
        </a:p>
      </dgm:t>
    </dgm:pt>
    <dgm:pt modelId="{5716991D-5374-4B59-B757-381C75FED387}" type="parTrans" cxnId="{E8241252-0A01-499B-B465-F10786596BA2}">
      <dgm:prSet/>
      <dgm:spPr/>
      <dgm:t>
        <a:bodyPr/>
        <a:lstStyle/>
        <a:p>
          <a:endParaRPr lang="es-CR"/>
        </a:p>
      </dgm:t>
    </dgm:pt>
    <dgm:pt modelId="{C64D94CE-CC4D-4662-9B7A-6C29230470EF}" type="sibTrans" cxnId="{E8241252-0A01-499B-B465-F10786596BA2}">
      <dgm:prSet/>
      <dgm:spPr/>
      <dgm:t>
        <a:bodyPr/>
        <a:lstStyle/>
        <a:p>
          <a:endParaRPr lang="es-CR"/>
        </a:p>
      </dgm:t>
    </dgm:pt>
    <dgm:pt modelId="{35B67852-A862-4317-B441-5B4954A5A1BA}">
      <dgm:prSet phldrT="[Texto]"/>
      <dgm:spPr/>
      <dgm:t>
        <a:bodyPr/>
        <a:lstStyle/>
        <a:p>
          <a:r>
            <a:rPr lang="es-CR"/>
            <a:t>Economía Circular</a:t>
          </a:r>
        </a:p>
      </dgm:t>
    </dgm:pt>
    <dgm:pt modelId="{798BF063-9137-4D88-A0C6-B0D68FF0C159}" type="parTrans" cxnId="{058033BF-B51E-46C5-9F8B-FA1D6C95EB81}">
      <dgm:prSet/>
      <dgm:spPr/>
      <dgm:t>
        <a:bodyPr/>
        <a:lstStyle/>
        <a:p>
          <a:endParaRPr lang="es-CR"/>
        </a:p>
      </dgm:t>
    </dgm:pt>
    <dgm:pt modelId="{72AAD66B-BCF4-4BC7-86FA-54BE86FBB5E2}" type="sibTrans" cxnId="{058033BF-B51E-46C5-9F8B-FA1D6C95EB81}">
      <dgm:prSet/>
      <dgm:spPr/>
      <dgm:t>
        <a:bodyPr/>
        <a:lstStyle/>
        <a:p>
          <a:endParaRPr lang="es-CR"/>
        </a:p>
      </dgm:t>
    </dgm:pt>
    <dgm:pt modelId="{9DE758B0-8762-4E09-B347-C7CE16B411A2}">
      <dgm:prSet phldrT="[Texto]"/>
      <dgm:spPr/>
      <dgm:t>
        <a:bodyPr/>
        <a:lstStyle/>
        <a:p>
          <a:r>
            <a:rPr lang="es-CR"/>
            <a:t>Convertir los residuos en recursos</a:t>
          </a:r>
        </a:p>
      </dgm:t>
    </dgm:pt>
    <dgm:pt modelId="{D638B95E-1E07-4392-88E4-2D4E1FAA5717}" type="parTrans" cxnId="{BD7EBEE8-EADB-4637-84FD-7A93D63288DC}">
      <dgm:prSet/>
      <dgm:spPr/>
      <dgm:t>
        <a:bodyPr/>
        <a:lstStyle/>
        <a:p>
          <a:endParaRPr lang="es-CR"/>
        </a:p>
      </dgm:t>
    </dgm:pt>
    <dgm:pt modelId="{DA812313-C8EA-481E-AE29-789CFDB3D2F8}" type="sibTrans" cxnId="{BD7EBEE8-EADB-4637-84FD-7A93D63288DC}">
      <dgm:prSet/>
      <dgm:spPr/>
      <dgm:t>
        <a:bodyPr/>
        <a:lstStyle/>
        <a:p>
          <a:endParaRPr lang="es-CR"/>
        </a:p>
      </dgm:t>
    </dgm:pt>
    <dgm:pt modelId="{5AD3ED98-B6E9-4C28-8327-EFE31B7877B9}">
      <dgm:prSet/>
      <dgm:spPr/>
      <dgm:t>
        <a:bodyPr/>
        <a:lstStyle/>
        <a:p>
          <a:r>
            <a:rPr lang="es-CR"/>
            <a:t>Mitigación y adaptación al cambio climático</a:t>
          </a:r>
        </a:p>
      </dgm:t>
    </dgm:pt>
    <dgm:pt modelId="{B7BC6BDE-59D9-473F-9A85-9982B58DC7A6}" type="parTrans" cxnId="{44D05473-0004-4114-B5F1-F2C904FA8B5B}">
      <dgm:prSet/>
      <dgm:spPr/>
      <dgm:t>
        <a:bodyPr/>
        <a:lstStyle/>
        <a:p>
          <a:endParaRPr lang="es-CR"/>
        </a:p>
      </dgm:t>
    </dgm:pt>
    <dgm:pt modelId="{5FDB98B7-4487-4C29-A3FC-F55C0032F904}" type="sibTrans" cxnId="{44D05473-0004-4114-B5F1-F2C904FA8B5B}">
      <dgm:prSet/>
      <dgm:spPr/>
      <dgm:t>
        <a:bodyPr/>
        <a:lstStyle/>
        <a:p>
          <a:endParaRPr lang="es-CR"/>
        </a:p>
      </dgm:t>
    </dgm:pt>
    <dgm:pt modelId="{9B002161-F60E-4ACA-A228-ACCEB3EACF1E}">
      <dgm:prSet/>
      <dgm:spPr/>
      <dgm:t>
        <a:bodyPr/>
        <a:lstStyle/>
        <a:p>
          <a:r>
            <a:rPr lang="es-CR"/>
            <a:t>Mantener y mejorar la calidad y cantidad de agua</a:t>
          </a:r>
        </a:p>
      </dgm:t>
    </dgm:pt>
    <dgm:pt modelId="{50E6357F-8E78-4F00-84F4-5D24DA841AF9}" type="parTrans" cxnId="{09959A70-31F2-4D41-9E53-EA1E66A5F59A}">
      <dgm:prSet/>
      <dgm:spPr/>
      <dgm:t>
        <a:bodyPr/>
        <a:lstStyle/>
        <a:p>
          <a:endParaRPr lang="es-CR"/>
        </a:p>
      </dgm:t>
    </dgm:pt>
    <dgm:pt modelId="{94E80E54-AEB8-4968-B116-7FDC2443D78A}" type="sibTrans" cxnId="{09959A70-31F2-4D41-9E53-EA1E66A5F59A}">
      <dgm:prSet/>
      <dgm:spPr/>
      <dgm:t>
        <a:bodyPr/>
        <a:lstStyle/>
        <a:p>
          <a:endParaRPr lang="es-CR"/>
        </a:p>
      </dgm:t>
    </dgm:pt>
    <dgm:pt modelId="{2546D1FC-85A0-4802-9921-F7C29D078AE1}">
      <dgm:prSet/>
      <dgm:spPr/>
      <dgm:t>
        <a:bodyPr/>
        <a:lstStyle/>
        <a:p>
          <a:r>
            <a:rPr lang="es-CR"/>
            <a:t>Detiene o invierte la degradación de la tierra, el suelo y el bosque</a:t>
          </a:r>
        </a:p>
      </dgm:t>
    </dgm:pt>
    <dgm:pt modelId="{39E5E6A1-A388-471B-B376-4967CE54AAF5}" type="parTrans" cxnId="{5059C298-2E9F-4CBC-A279-BC49AB7DBC00}">
      <dgm:prSet/>
      <dgm:spPr/>
      <dgm:t>
        <a:bodyPr/>
        <a:lstStyle/>
        <a:p>
          <a:endParaRPr lang="es-CR"/>
        </a:p>
      </dgm:t>
    </dgm:pt>
    <dgm:pt modelId="{8DF4ED50-4366-4B37-B529-FD84AAFE2D03}" type="sibTrans" cxnId="{5059C298-2E9F-4CBC-A279-BC49AB7DBC00}">
      <dgm:prSet/>
      <dgm:spPr/>
      <dgm:t>
        <a:bodyPr/>
        <a:lstStyle/>
        <a:p>
          <a:endParaRPr lang="es-CR"/>
        </a:p>
      </dgm:t>
    </dgm:pt>
    <dgm:pt modelId="{D9FADE74-0E05-4910-8D71-EC18A44B4948}">
      <dgm:prSet/>
      <dgm:spPr/>
      <dgm:t>
        <a:bodyPr/>
        <a:lstStyle/>
        <a:p>
          <a:r>
            <a:rPr lang="es-CR"/>
            <a:t>Fomenta el desarrollo económico</a:t>
          </a:r>
        </a:p>
      </dgm:t>
    </dgm:pt>
    <dgm:pt modelId="{4AEA7EA4-1C4E-4723-AAFD-325DB348328D}" type="parTrans" cxnId="{5446ED2E-C707-4605-96F6-C1C2283ADE23}">
      <dgm:prSet/>
      <dgm:spPr/>
      <dgm:t>
        <a:bodyPr/>
        <a:lstStyle/>
        <a:p>
          <a:endParaRPr lang="es-CR"/>
        </a:p>
      </dgm:t>
    </dgm:pt>
    <dgm:pt modelId="{DA129789-8C9F-4AC9-914A-9DCE561E2119}" type="sibTrans" cxnId="{5446ED2E-C707-4605-96F6-C1C2283ADE23}">
      <dgm:prSet/>
      <dgm:spPr/>
      <dgm:t>
        <a:bodyPr/>
        <a:lstStyle/>
        <a:p>
          <a:endParaRPr lang="es-CR"/>
        </a:p>
      </dgm:t>
    </dgm:pt>
    <dgm:pt modelId="{CD2E0FB2-0F9B-4B4A-A36C-3BC1AE983977}">
      <dgm:prSet/>
      <dgm:spPr/>
      <dgm:t>
        <a:bodyPr/>
        <a:lstStyle/>
        <a:p>
          <a:r>
            <a:rPr lang="es-CR"/>
            <a:t>Mejora la resiliencia de la economía rural y urbana</a:t>
          </a:r>
        </a:p>
      </dgm:t>
    </dgm:pt>
    <dgm:pt modelId="{4D02141B-1C6E-42F3-AE0A-539017AD3C67}" type="parTrans" cxnId="{7AFA4498-C937-4B78-AE1E-2630833BC120}">
      <dgm:prSet/>
      <dgm:spPr/>
      <dgm:t>
        <a:bodyPr/>
        <a:lstStyle/>
        <a:p>
          <a:endParaRPr lang="es-CR"/>
        </a:p>
      </dgm:t>
    </dgm:pt>
    <dgm:pt modelId="{1CE7ADB5-E93D-4E5E-8F4B-A0B79F3B7DBD}" type="sibTrans" cxnId="{7AFA4498-C937-4B78-AE1E-2630833BC120}">
      <dgm:prSet/>
      <dgm:spPr/>
      <dgm:t>
        <a:bodyPr/>
        <a:lstStyle/>
        <a:p>
          <a:endParaRPr lang="es-CR"/>
        </a:p>
      </dgm:t>
    </dgm:pt>
    <dgm:pt modelId="{30D0F82C-0F0D-43FB-B986-405C16B55E4E}">
      <dgm:prSet/>
      <dgm:spPr/>
      <dgm:t>
        <a:bodyPr/>
        <a:lstStyle/>
        <a:p>
          <a:r>
            <a:rPr lang="es-CR"/>
            <a:t>Eficiencia en el uso de los recursos</a:t>
          </a:r>
        </a:p>
      </dgm:t>
    </dgm:pt>
    <dgm:pt modelId="{C13BBFE4-74FF-426C-9FCD-7BB0889C612E}" type="parTrans" cxnId="{35ED85DC-6C17-4230-919F-262AB0205961}">
      <dgm:prSet/>
      <dgm:spPr/>
      <dgm:t>
        <a:bodyPr/>
        <a:lstStyle/>
        <a:p>
          <a:endParaRPr lang="es-CR"/>
        </a:p>
      </dgm:t>
    </dgm:pt>
    <dgm:pt modelId="{BA1E6770-4E9C-4686-9E49-1ED0D9A2AD19}" type="sibTrans" cxnId="{35ED85DC-6C17-4230-919F-262AB0205961}">
      <dgm:prSet/>
      <dgm:spPr/>
      <dgm:t>
        <a:bodyPr/>
        <a:lstStyle/>
        <a:p>
          <a:endParaRPr lang="es-CR"/>
        </a:p>
      </dgm:t>
    </dgm:pt>
    <dgm:pt modelId="{50569ACE-614F-4D60-BD58-2D1428FE6E2A}">
      <dgm:prSet/>
      <dgm:spPr/>
      <dgm:t>
        <a:bodyPr/>
        <a:lstStyle/>
        <a:p>
          <a:r>
            <a:rPr lang="es-CR"/>
            <a:t>Prevención de residuos</a:t>
          </a:r>
        </a:p>
      </dgm:t>
    </dgm:pt>
    <dgm:pt modelId="{AD7D5D50-C03D-447C-8099-A1E28D05663D}" type="parTrans" cxnId="{4A2AC9DD-D254-4F46-BAAE-8CEAA5D294E1}">
      <dgm:prSet/>
      <dgm:spPr/>
      <dgm:t>
        <a:bodyPr/>
        <a:lstStyle/>
        <a:p>
          <a:endParaRPr lang="es-CR"/>
        </a:p>
      </dgm:t>
    </dgm:pt>
    <dgm:pt modelId="{5C7D207F-2F81-455F-8527-A87F3A86E1E3}" type="sibTrans" cxnId="{4A2AC9DD-D254-4F46-BAAE-8CEAA5D294E1}">
      <dgm:prSet/>
      <dgm:spPr/>
      <dgm:t>
        <a:bodyPr/>
        <a:lstStyle/>
        <a:p>
          <a:endParaRPr lang="es-CR"/>
        </a:p>
      </dgm:t>
    </dgm:pt>
    <dgm:pt modelId="{8D592D5E-4351-486A-9BE6-83B458867E63}">
      <dgm:prSet/>
      <dgm:spPr/>
      <dgm:t>
        <a:bodyPr/>
        <a:lstStyle/>
        <a:p>
          <a:r>
            <a:rPr lang="es-CR"/>
            <a:t>Reutilización</a:t>
          </a:r>
        </a:p>
      </dgm:t>
    </dgm:pt>
    <dgm:pt modelId="{E3E5AD88-971E-4B55-A0F7-679D98FAA708}" type="parTrans" cxnId="{CFF1209A-01B2-40D5-B4CB-E1905BFE4D91}">
      <dgm:prSet/>
      <dgm:spPr/>
      <dgm:t>
        <a:bodyPr/>
        <a:lstStyle/>
        <a:p>
          <a:endParaRPr lang="es-CR"/>
        </a:p>
      </dgm:t>
    </dgm:pt>
    <dgm:pt modelId="{7367678D-7F82-4ED9-93BF-4A00F6B046A4}" type="sibTrans" cxnId="{CFF1209A-01B2-40D5-B4CB-E1905BFE4D91}">
      <dgm:prSet/>
      <dgm:spPr/>
      <dgm:t>
        <a:bodyPr/>
        <a:lstStyle/>
        <a:p>
          <a:endParaRPr lang="es-CR"/>
        </a:p>
      </dgm:t>
    </dgm:pt>
    <dgm:pt modelId="{76049C0E-FD33-451E-B320-DF75C532AC0D}">
      <dgm:prSet/>
      <dgm:spPr/>
      <dgm:t>
        <a:bodyPr/>
        <a:lstStyle/>
        <a:p>
          <a:r>
            <a:rPr lang="es-CR"/>
            <a:t>Eliminar la contaminación</a:t>
          </a:r>
        </a:p>
      </dgm:t>
    </dgm:pt>
    <dgm:pt modelId="{0CDB322A-194B-42DA-8FF2-C276A120E149}" type="parTrans" cxnId="{87D3E11C-C6C5-4298-AC48-A0BA8BEF472C}">
      <dgm:prSet/>
      <dgm:spPr/>
      <dgm:t>
        <a:bodyPr/>
        <a:lstStyle/>
        <a:p>
          <a:endParaRPr lang="es-CR"/>
        </a:p>
      </dgm:t>
    </dgm:pt>
    <dgm:pt modelId="{736731A1-9FCE-4A50-A106-51CD858E8B75}" type="sibTrans" cxnId="{87D3E11C-C6C5-4298-AC48-A0BA8BEF472C}">
      <dgm:prSet/>
      <dgm:spPr/>
      <dgm:t>
        <a:bodyPr/>
        <a:lstStyle/>
        <a:p>
          <a:endParaRPr lang="es-CR"/>
        </a:p>
      </dgm:t>
    </dgm:pt>
    <dgm:pt modelId="{78D9E0DD-1269-41C1-8940-A4CE4342B940}">
      <dgm:prSet/>
      <dgm:spPr/>
      <dgm:t>
        <a:bodyPr/>
        <a:lstStyle/>
        <a:p>
          <a:r>
            <a:rPr lang="es-CR"/>
            <a:t>Regenerar la naturaleza</a:t>
          </a:r>
        </a:p>
      </dgm:t>
    </dgm:pt>
    <dgm:pt modelId="{63C4AB92-C235-4D09-AD4C-C4E5D91274F3}" type="parTrans" cxnId="{5541F547-EFFC-46A7-9A15-1CB20F1DE425}">
      <dgm:prSet/>
      <dgm:spPr/>
      <dgm:t>
        <a:bodyPr/>
        <a:lstStyle/>
        <a:p>
          <a:endParaRPr lang="es-CR"/>
        </a:p>
      </dgm:t>
    </dgm:pt>
    <dgm:pt modelId="{35C6DA27-6685-48A9-B0BD-72C1801D9C07}" type="sibTrans" cxnId="{5541F547-EFFC-46A7-9A15-1CB20F1DE425}">
      <dgm:prSet/>
      <dgm:spPr/>
      <dgm:t>
        <a:bodyPr/>
        <a:lstStyle/>
        <a:p>
          <a:endParaRPr lang="es-CR"/>
        </a:p>
      </dgm:t>
    </dgm:pt>
    <dgm:pt modelId="{4D2770BB-94B5-41B0-A2BF-4ABC5CB48686}">
      <dgm:prSet/>
      <dgm:spPr/>
      <dgm:t>
        <a:bodyPr/>
        <a:lstStyle/>
        <a:p>
          <a:r>
            <a:rPr lang="es-CR"/>
            <a:t>Generar valor agregado</a:t>
          </a:r>
        </a:p>
      </dgm:t>
    </dgm:pt>
    <dgm:pt modelId="{3E663F79-F701-497A-86F1-1800BF398ABB}" type="parTrans" cxnId="{329D3965-91F1-43F8-90C0-83CBAE277AA4}">
      <dgm:prSet/>
      <dgm:spPr/>
      <dgm:t>
        <a:bodyPr/>
        <a:lstStyle/>
        <a:p>
          <a:endParaRPr lang="es-CR"/>
        </a:p>
      </dgm:t>
    </dgm:pt>
    <dgm:pt modelId="{F2D112B4-35F9-4845-9EC1-C352886E15EE}" type="sibTrans" cxnId="{329D3965-91F1-43F8-90C0-83CBAE277AA4}">
      <dgm:prSet/>
      <dgm:spPr/>
      <dgm:t>
        <a:bodyPr/>
        <a:lstStyle/>
        <a:p>
          <a:endParaRPr lang="es-CR"/>
        </a:p>
      </dgm:t>
    </dgm:pt>
    <dgm:pt modelId="{0D67D4D8-4BCE-432E-BF0F-9B5CA0ECDCB3}">
      <dgm:prSet/>
      <dgm:spPr/>
      <dgm:t>
        <a:bodyPr/>
        <a:lstStyle/>
        <a:p>
          <a:r>
            <a:rPr lang="es-CR"/>
            <a:t>Energía de fuentes renovables</a:t>
          </a:r>
        </a:p>
      </dgm:t>
    </dgm:pt>
    <dgm:pt modelId="{1C9760B8-4B61-4DD4-97C8-BFF844F618D2}" type="parTrans" cxnId="{FD84307D-88C6-4827-89C0-DA688EA8D6E8}">
      <dgm:prSet/>
      <dgm:spPr/>
      <dgm:t>
        <a:bodyPr/>
        <a:lstStyle/>
        <a:p>
          <a:endParaRPr lang="es-CR"/>
        </a:p>
      </dgm:t>
    </dgm:pt>
    <dgm:pt modelId="{29D5CD58-A42D-4505-AF4B-1A691055C1C2}" type="sibTrans" cxnId="{FD84307D-88C6-4827-89C0-DA688EA8D6E8}">
      <dgm:prSet/>
      <dgm:spPr/>
      <dgm:t>
        <a:bodyPr/>
        <a:lstStyle/>
        <a:p>
          <a:endParaRPr lang="es-CR"/>
        </a:p>
      </dgm:t>
    </dgm:pt>
    <dgm:pt modelId="{267D7BBA-1829-43AD-A851-562CA443165F}">
      <dgm:prSet/>
      <dgm:spPr/>
      <dgm:t>
        <a:bodyPr/>
        <a:lstStyle/>
        <a:p>
          <a:r>
            <a:rPr lang="es-CR"/>
            <a:t>Durabilidad</a:t>
          </a:r>
        </a:p>
      </dgm:t>
    </dgm:pt>
    <dgm:pt modelId="{F5CC7F13-7C1B-4D7C-8DE0-D66F33519E82}" type="parTrans" cxnId="{E085D880-19AF-4B07-A699-370BAF171FA9}">
      <dgm:prSet/>
      <dgm:spPr/>
      <dgm:t>
        <a:bodyPr/>
        <a:lstStyle/>
        <a:p>
          <a:endParaRPr lang="es-CR"/>
        </a:p>
      </dgm:t>
    </dgm:pt>
    <dgm:pt modelId="{A87CFA7A-D230-4F3A-99A4-EECC11B4D77F}" type="sibTrans" cxnId="{E085D880-19AF-4B07-A699-370BAF171FA9}">
      <dgm:prSet/>
      <dgm:spPr/>
      <dgm:t>
        <a:bodyPr/>
        <a:lstStyle/>
        <a:p>
          <a:endParaRPr lang="es-CR"/>
        </a:p>
      </dgm:t>
    </dgm:pt>
    <dgm:pt modelId="{E6FF83F6-E0B9-4D24-977A-DFCF80ABDBF5}">
      <dgm:prSet/>
      <dgm:spPr/>
      <dgm:t>
        <a:bodyPr/>
        <a:lstStyle/>
        <a:p>
          <a:r>
            <a:rPr lang="es-CR"/>
            <a:t>Reutilización</a:t>
          </a:r>
        </a:p>
      </dgm:t>
    </dgm:pt>
    <dgm:pt modelId="{7FE68274-D80C-4AFF-A84F-DEA5A4D6A4AA}" type="parTrans" cxnId="{09C83365-8DC1-4808-A3CA-408A97BC4862}">
      <dgm:prSet/>
      <dgm:spPr/>
      <dgm:t>
        <a:bodyPr/>
        <a:lstStyle/>
        <a:p>
          <a:endParaRPr lang="es-CR"/>
        </a:p>
      </dgm:t>
    </dgm:pt>
    <dgm:pt modelId="{571DCF9D-9A4D-4646-95E9-F5F576562E72}" type="sibTrans" cxnId="{09C83365-8DC1-4808-A3CA-408A97BC4862}">
      <dgm:prSet/>
      <dgm:spPr/>
      <dgm:t>
        <a:bodyPr/>
        <a:lstStyle/>
        <a:p>
          <a:endParaRPr lang="es-CR"/>
        </a:p>
      </dgm:t>
    </dgm:pt>
    <dgm:pt modelId="{CDAFB658-9A09-4A44-BC38-542840C3838D}">
      <dgm:prSet/>
      <dgm:spPr/>
      <dgm:t>
        <a:bodyPr/>
        <a:lstStyle/>
        <a:p>
          <a:r>
            <a:rPr lang="es-CR"/>
            <a:t>Reparar</a:t>
          </a:r>
        </a:p>
      </dgm:t>
    </dgm:pt>
    <dgm:pt modelId="{E6E62CEA-E163-42F5-A917-3317CCAD9124}" type="parTrans" cxnId="{78E7981E-C8A6-4E91-8591-6F309AB64291}">
      <dgm:prSet/>
      <dgm:spPr/>
      <dgm:t>
        <a:bodyPr/>
        <a:lstStyle/>
        <a:p>
          <a:endParaRPr lang="es-CR"/>
        </a:p>
      </dgm:t>
    </dgm:pt>
    <dgm:pt modelId="{A6B26DB8-6E47-4BFA-8A23-ABD25E3A6C16}" type="sibTrans" cxnId="{78E7981E-C8A6-4E91-8591-6F309AB64291}">
      <dgm:prSet/>
      <dgm:spPr/>
      <dgm:t>
        <a:bodyPr/>
        <a:lstStyle/>
        <a:p>
          <a:endParaRPr lang="es-CR"/>
        </a:p>
      </dgm:t>
    </dgm:pt>
    <dgm:pt modelId="{7AD34229-BF1D-47F7-B32A-D30EEF91249B}">
      <dgm:prSet/>
      <dgm:spPr/>
      <dgm:t>
        <a:bodyPr/>
        <a:lstStyle/>
        <a:p>
          <a:r>
            <a:rPr lang="es-CR"/>
            <a:t>Reciclaje</a:t>
          </a:r>
        </a:p>
      </dgm:t>
    </dgm:pt>
    <dgm:pt modelId="{25F17EBD-C7DC-42E8-9FB4-F764F8185061}" type="parTrans" cxnId="{181F846E-D665-484B-9C12-69F54DF58A4A}">
      <dgm:prSet/>
      <dgm:spPr/>
      <dgm:t>
        <a:bodyPr/>
        <a:lstStyle/>
        <a:p>
          <a:endParaRPr lang="es-CR"/>
        </a:p>
      </dgm:t>
    </dgm:pt>
    <dgm:pt modelId="{9FAE0151-7A53-4D19-8A1D-1A9D46E4387A}" type="sibTrans" cxnId="{181F846E-D665-484B-9C12-69F54DF58A4A}">
      <dgm:prSet/>
      <dgm:spPr/>
      <dgm:t>
        <a:bodyPr/>
        <a:lstStyle/>
        <a:p>
          <a:endParaRPr lang="es-CR"/>
        </a:p>
      </dgm:t>
    </dgm:pt>
    <dgm:pt modelId="{1A1BD752-1202-4EB4-A24C-FAC4C1A8CC35}">
      <dgm:prSet/>
      <dgm:spPr/>
      <dgm:t>
        <a:bodyPr/>
        <a:lstStyle/>
        <a:p>
          <a:r>
            <a:rPr lang="es-CR"/>
            <a:t>Innovación</a:t>
          </a:r>
        </a:p>
      </dgm:t>
    </dgm:pt>
    <dgm:pt modelId="{92C94220-9631-4047-B133-B9BD08FB2CC5}" type="parTrans" cxnId="{60BB1414-7CAB-4F30-BD35-B1EF827BC0CE}">
      <dgm:prSet/>
      <dgm:spPr/>
      <dgm:t>
        <a:bodyPr/>
        <a:lstStyle/>
        <a:p>
          <a:endParaRPr lang="es-CR"/>
        </a:p>
      </dgm:t>
    </dgm:pt>
    <dgm:pt modelId="{3F92B71F-CA5D-4F62-8C84-B8DABEC03630}" type="sibTrans" cxnId="{60BB1414-7CAB-4F30-BD35-B1EF827BC0CE}">
      <dgm:prSet/>
      <dgm:spPr/>
      <dgm:t>
        <a:bodyPr/>
        <a:lstStyle/>
        <a:p>
          <a:endParaRPr lang="es-CR"/>
        </a:p>
      </dgm:t>
    </dgm:pt>
    <dgm:pt modelId="{03D9E14B-EF7F-4FB4-A4E2-2D248E6B914C}">
      <dgm:prSet/>
      <dgm:spPr/>
      <dgm:t>
        <a:bodyPr/>
        <a:lstStyle/>
        <a:p>
          <a:r>
            <a:rPr lang="es-CR"/>
            <a:t>Cero desperdicios</a:t>
          </a:r>
        </a:p>
      </dgm:t>
    </dgm:pt>
    <dgm:pt modelId="{B68217B9-6E15-4A18-AAA5-F545C7CF5A60}" type="parTrans" cxnId="{9CDEE07B-6D08-4FD2-8189-8F8A8710B318}">
      <dgm:prSet/>
      <dgm:spPr/>
      <dgm:t>
        <a:bodyPr/>
        <a:lstStyle/>
        <a:p>
          <a:endParaRPr lang="es-CR"/>
        </a:p>
      </dgm:t>
    </dgm:pt>
    <dgm:pt modelId="{B7834B06-531D-4FB7-A0A3-108C57ACCB91}" type="sibTrans" cxnId="{9CDEE07B-6D08-4FD2-8189-8F8A8710B318}">
      <dgm:prSet/>
      <dgm:spPr/>
      <dgm:t>
        <a:bodyPr/>
        <a:lstStyle/>
        <a:p>
          <a:endParaRPr lang="es-CR"/>
        </a:p>
      </dgm:t>
    </dgm:pt>
    <dgm:pt modelId="{9923918A-7370-4BB0-8ABF-50CB3DF4F450}" type="pres">
      <dgm:prSet presAssocID="{1C3E64F2-4861-41E9-8CBD-AD431448BE3B}" presName="linearFlow" presStyleCnt="0">
        <dgm:presLayoutVars>
          <dgm:dir/>
          <dgm:animLvl val="lvl"/>
          <dgm:resizeHandles/>
        </dgm:presLayoutVars>
      </dgm:prSet>
      <dgm:spPr/>
    </dgm:pt>
    <dgm:pt modelId="{CAC7CA85-EEC1-43F3-88B2-9D619A5DEB72}" type="pres">
      <dgm:prSet presAssocID="{23DD08B0-4B15-4323-BF97-409BACE7DC07}" presName="compositeNode" presStyleCnt="0">
        <dgm:presLayoutVars>
          <dgm:bulletEnabled val="1"/>
        </dgm:presLayoutVars>
      </dgm:prSet>
      <dgm:spPr/>
    </dgm:pt>
    <dgm:pt modelId="{132D74F2-AC9F-4D9E-B49E-C827FD2E6417}" type="pres">
      <dgm:prSet presAssocID="{23DD08B0-4B15-4323-BF97-409BACE7DC07}" presName="image" presStyleLbl="fgImgPlace1" presStyleIdx="0" presStyleCnt="2"/>
      <dgm:spPr>
        <a:blipFill>
          <a:blip xmlns:r="http://schemas.openxmlformats.org/officeDocument/2006/relationships" r:embed="rId1">
            <a:extLst>
              <a:ext uri="{96DAC541-7B7A-43D3-8B79-37D633B846F1}">
                <asvg:svgBlip xmlns:asvg="http://schemas.microsoft.com/office/drawing/2016/SVG/main" r:embed="rId2"/>
              </a:ext>
            </a:extLst>
          </a:blip>
          <a:srcRect/>
          <a:stretch>
            <a:fillRect/>
          </a:stretch>
        </a:blipFill>
        <a:ln>
          <a:noFill/>
        </a:ln>
      </dgm:spPr>
      <dgm:extLst>
        <a:ext uri="{E40237B7-FDA0-4F09-8148-C483321AD2D9}">
          <dgm14:cNvPr xmlns:dgm14="http://schemas.microsoft.com/office/drawing/2010/diagram" id="0" name="" descr="Compost con relleno sólido"/>
        </a:ext>
      </dgm:extLst>
    </dgm:pt>
    <dgm:pt modelId="{8BEB32A8-ED5C-4145-8FFB-E504CD56CB55}" type="pres">
      <dgm:prSet presAssocID="{23DD08B0-4B15-4323-BF97-409BACE7DC07}" presName="childNode" presStyleLbl="node1" presStyleIdx="0" presStyleCnt="2">
        <dgm:presLayoutVars>
          <dgm:bulletEnabled val="1"/>
        </dgm:presLayoutVars>
      </dgm:prSet>
      <dgm:spPr/>
    </dgm:pt>
    <dgm:pt modelId="{F36C3D22-88F8-46AE-BC25-4AB1E10548F8}" type="pres">
      <dgm:prSet presAssocID="{23DD08B0-4B15-4323-BF97-409BACE7DC07}" presName="parentNode" presStyleLbl="revTx" presStyleIdx="0" presStyleCnt="2">
        <dgm:presLayoutVars>
          <dgm:chMax val="0"/>
          <dgm:bulletEnabled val="1"/>
        </dgm:presLayoutVars>
      </dgm:prSet>
      <dgm:spPr/>
    </dgm:pt>
    <dgm:pt modelId="{D831A093-82CC-4998-88F7-605F140D54F4}" type="pres">
      <dgm:prSet presAssocID="{DAEFF7FA-8049-4782-BFD3-19FC810A9D81}" presName="sibTrans" presStyleCnt="0"/>
      <dgm:spPr/>
    </dgm:pt>
    <dgm:pt modelId="{5A57B480-049E-4087-85A4-93A442C4C98B}" type="pres">
      <dgm:prSet presAssocID="{35B67852-A862-4317-B441-5B4954A5A1BA}" presName="compositeNode" presStyleCnt="0">
        <dgm:presLayoutVars>
          <dgm:bulletEnabled val="1"/>
        </dgm:presLayoutVars>
      </dgm:prSet>
      <dgm:spPr/>
    </dgm:pt>
    <dgm:pt modelId="{B7735165-8729-4709-8974-B3E43946AF19}" type="pres">
      <dgm:prSet presAssocID="{35B67852-A862-4317-B441-5B4954A5A1BA}" presName="image" presStyleLbl="fgImgPlace1" presStyleIdx="1" presStyleCnt="2"/>
      <dgm:spPr>
        <a:blipFill>
          <a:blip xmlns:r="http://schemas.openxmlformats.org/officeDocument/2006/relationships" r:embed="rId3">
            <a:extLst>
              <a:ext uri="{96DAC541-7B7A-43D3-8B79-37D633B846F1}">
                <asvg:svgBlip xmlns:asvg="http://schemas.microsoft.com/office/drawing/2016/SVG/main" r:embed="rId4"/>
              </a:ext>
            </a:extLst>
          </a:blip>
          <a:srcRect/>
          <a:stretch>
            <a:fillRect/>
          </a:stretch>
        </a:blipFill>
        <a:ln>
          <a:noFill/>
        </a:ln>
      </dgm:spPr>
      <dgm:extLst>
        <a:ext uri="{E40237B7-FDA0-4F09-8148-C483321AD2D9}">
          <dgm14:cNvPr xmlns:dgm14="http://schemas.microsoft.com/office/drawing/2010/diagram" id="0" name="" descr="Mejora continua con relleno sólido"/>
        </a:ext>
      </dgm:extLst>
    </dgm:pt>
    <dgm:pt modelId="{32ECD0C9-CDF9-41E3-A150-45DC01BD3F68}" type="pres">
      <dgm:prSet presAssocID="{35B67852-A862-4317-B441-5B4954A5A1BA}" presName="childNode" presStyleLbl="node1" presStyleIdx="1" presStyleCnt="2">
        <dgm:presLayoutVars>
          <dgm:bulletEnabled val="1"/>
        </dgm:presLayoutVars>
      </dgm:prSet>
      <dgm:spPr/>
    </dgm:pt>
    <dgm:pt modelId="{E03984C2-62BA-472F-8E81-7E2893C02F50}" type="pres">
      <dgm:prSet presAssocID="{35B67852-A862-4317-B441-5B4954A5A1BA}" presName="parentNode" presStyleLbl="revTx" presStyleIdx="1" presStyleCnt="2">
        <dgm:presLayoutVars>
          <dgm:chMax val="0"/>
          <dgm:bulletEnabled val="1"/>
        </dgm:presLayoutVars>
      </dgm:prSet>
      <dgm:spPr/>
    </dgm:pt>
  </dgm:ptLst>
  <dgm:cxnLst>
    <dgm:cxn modelId="{866FCB06-C1CB-4831-A1EA-5EFBFB2D9112}" type="presOf" srcId="{5AD3ED98-B6E9-4C28-8327-EFE31B7877B9}" destId="{8BEB32A8-ED5C-4145-8FFB-E504CD56CB55}" srcOrd="0" destOrd="1" presId="urn:microsoft.com/office/officeart/2005/8/layout/hList2"/>
    <dgm:cxn modelId="{AE449807-AB1A-4B24-AF9F-22F0AF799C48}" type="presOf" srcId="{0D67D4D8-4BCE-432E-BF0F-9B5CA0ECDCB3}" destId="{32ECD0C9-CDF9-41E3-A150-45DC01BD3F68}" srcOrd="0" destOrd="4" presId="urn:microsoft.com/office/officeart/2005/8/layout/hList2"/>
    <dgm:cxn modelId="{6C47CF0D-571A-4ECB-BF79-5D13F4FB4183}" type="presOf" srcId="{D925F568-FA3A-4BCE-A6EE-FCA1B32FE555}" destId="{8BEB32A8-ED5C-4145-8FFB-E504CD56CB55}" srcOrd="0" destOrd="0" presId="urn:microsoft.com/office/officeart/2005/8/layout/hList2"/>
    <dgm:cxn modelId="{60B5EA11-471D-442A-A4EC-A9C7864DA193}" srcId="{1C3E64F2-4861-41E9-8CBD-AD431448BE3B}" destId="{23DD08B0-4B15-4323-BF97-409BACE7DC07}" srcOrd="0" destOrd="0" parTransId="{582255BB-E4BD-487C-AF09-FA333B9E205D}" sibTransId="{DAEFF7FA-8049-4782-BFD3-19FC810A9D81}"/>
    <dgm:cxn modelId="{60BB1414-7CAB-4F30-BD35-B1EF827BC0CE}" srcId="{35B67852-A862-4317-B441-5B4954A5A1BA}" destId="{1A1BD752-1202-4EB4-A24C-FAC4C1A8CC35}" srcOrd="9" destOrd="0" parTransId="{92C94220-9631-4047-B133-B9BD08FB2CC5}" sibTransId="{3F92B71F-CA5D-4F62-8C84-B8DABEC03630}"/>
    <dgm:cxn modelId="{87D3E11C-C6C5-4298-AC48-A0BA8BEF472C}" srcId="{35B67852-A862-4317-B441-5B4954A5A1BA}" destId="{76049C0E-FD33-451E-B320-DF75C532AC0D}" srcOrd="1" destOrd="0" parTransId="{0CDB322A-194B-42DA-8FF2-C276A120E149}" sibTransId="{736731A1-9FCE-4A50-A106-51CD858E8B75}"/>
    <dgm:cxn modelId="{78E7981E-C8A6-4E91-8591-6F309AB64291}" srcId="{35B67852-A862-4317-B441-5B4954A5A1BA}" destId="{CDAFB658-9A09-4A44-BC38-542840C3838D}" srcOrd="7" destOrd="0" parTransId="{E6E62CEA-E163-42F5-A917-3317CCAD9124}" sibTransId="{A6B26DB8-6E47-4BFA-8A23-ABD25E3A6C16}"/>
    <dgm:cxn modelId="{3F2E0723-562E-4699-9734-FC5962913C39}" type="presOf" srcId="{267D7BBA-1829-43AD-A851-562CA443165F}" destId="{32ECD0C9-CDF9-41E3-A150-45DC01BD3F68}" srcOrd="0" destOrd="5" presId="urn:microsoft.com/office/officeart/2005/8/layout/hList2"/>
    <dgm:cxn modelId="{207BCD23-821C-48F2-9A10-F50384B6D5EE}" type="presOf" srcId="{03D9E14B-EF7F-4FB4-A4E2-2D248E6B914C}" destId="{32ECD0C9-CDF9-41E3-A150-45DC01BD3F68}" srcOrd="0" destOrd="10" presId="urn:microsoft.com/office/officeart/2005/8/layout/hList2"/>
    <dgm:cxn modelId="{E518CD28-D820-4875-A869-2554876CE445}" type="presOf" srcId="{1C3E64F2-4861-41E9-8CBD-AD431448BE3B}" destId="{9923918A-7370-4BB0-8ABF-50CB3DF4F450}" srcOrd="0" destOrd="0" presId="urn:microsoft.com/office/officeart/2005/8/layout/hList2"/>
    <dgm:cxn modelId="{749D392D-0798-438C-AD5A-D4DFC1BB81D8}" type="presOf" srcId="{E6FF83F6-E0B9-4D24-977A-DFCF80ABDBF5}" destId="{32ECD0C9-CDF9-41E3-A150-45DC01BD3F68}" srcOrd="0" destOrd="6" presId="urn:microsoft.com/office/officeart/2005/8/layout/hList2"/>
    <dgm:cxn modelId="{5446ED2E-C707-4605-96F6-C1C2283ADE23}" srcId="{23DD08B0-4B15-4323-BF97-409BACE7DC07}" destId="{D9FADE74-0E05-4910-8D71-EC18A44B4948}" srcOrd="4" destOrd="0" parTransId="{4AEA7EA4-1C4E-4723-AAFD-325DB348328D}" sibTransId="{DA129789-8C9F-4AC9-914A-9DCE561E2119}"/>
    <dgm:cxn modelId="{786A7A32-4BBB-4318-9398-00A6C53A4CE3}" type="presOf" srcId="{9DE758B0-8762-4E09-B347-C7CE16B411A2}" destId="{32ECD0C9-CDF9-41E3-A150-45DC01BD3F68}" srcOrd="0" destOrd="0" presId="urn:microsoft.com/office/officeart/2005/8/layout/hList2"/>
    <dgm:cxn modelId="{A7805363-1856-4029-93A1-7A41356C0FEC}" type="presOf" srcId="{1A1BD752-1202-4EB4-A24C-FAC4C1A8CC35}" destId="{32ECD0C9-CDF9-41E3-A150-45DC01BD3F68}" srcOrd="0" destOrd="9" presId="urn:microsoft.com/office/officeart/2005/8/layout/hList2"/>
    <dgm:cxn modelId="{09C83365-8DC1-4808-A3CA-408A97BC4862}" srcId="{35B67852-A862-4317-B441-5B4954A5A1BA}" destId="{E6FF83F6-E0B9-4D24-977A-DFCF80ABDBF5}" srcOrd="6" destOrd="0" parTransId="{7FE68274-D80C-4AFF-A84F-DEA5A4D6A4AA}" sibTransId="{571DCF9D-9A4D-4646-95E9-F5F576562E72}"/>
    <dgm:cxn modelId="{329D3965-91F1-43F8-90C0-83CBAE277AA4}" srcId="{35B67852-A862-4317-B441-5B4954A5A1BA}" destId="{4D2770BB-94B5-41B0-A2BF-4ABC5CB48686}" srcOrd="3" destOrd="0" parTransId="{3E663F79-F701-497A-86F1-1800BF398ABB}" sibTransId="{F2D112B4-35F9-4845-9EC1-C352886E15EE}"/>
    <dgm:cxn modelId="{5541F547-EFFC-46A7-9A15-1CB20F1DE425}" srcId="{35B67852-A862-4317-B441-5B4954A5A1BA}" destId="{78D9E0DD-1269-41C1-8940-A4CE4342B940}" srcOrd="2" destOrd="0" parTransId="{63C4AB92-C235-4D09-AD4C-C4E5D91274F3}" sibTransId="{35C6DA27-6685-48A9-B0BD-72C1801D9C07}"/>
    <dgm:cxn modelId="{0A97216A-CDB8-4E60-901C-A224BFF37828}" type="presOf" srcId="{30D0F82C-0F0D-43FB-B986-405C16B55E4E}" destId="{8BEB32A8-ED5C-4145-8FFB-E504CD56CB55}" srcOrd="0" destOrd="6" presId="urn:microsoft.com/office/officeart/2005/8/layout/hList2"/>
    <dgm:cxn modelId="{6CD54B6B-B498-4C6C-99AB-0B2E31CC2143}" type="presOf" srcId="{50569ACE-614F-4D60-BD58-2D1428FE6E2A}" destId="{8BEB32A8-ED5C-4145-8FFB-E504CD56CB55}" srcOrd="0" destOrd="7" presId="urn:microsoft.com/office/officeart/2005/8/layout/hList2"/>
    <dgm:cxn modelId="{181F846E-D665-484B-9C12-69F54DF58A4A}" srcId="{35B67852-A862-4317-B441-5B4954A5A1BA}" destId="{7AD34229-BF1D-47F7-B32A-D30EEF91249B}" srcOrd="8" destOrd="0" parTransId="{25F17EBD-C7DC-42E8-9FB4-F764F8185061}" sibTransId="{9FAE0151-7A53-4D19-8A1D-1A9D46E4387A}"/>
    <dgm:cxn modelId="{09959A70-31F2-4D41-9E53-EA1E66A5F59A}" srcId="{23DD08B0-4B15-4323-BF97-409BACE7DC07}" destId="{9B002161-F60E-4ACA-A228-ACCEB3EACF1E}" srcOrd="2" destOrd="0" parTransId="{50E6357F-8E78-4F00-84F4-5D24DA841AF9}" sibTransId="{94E80E54-AEB8-4968-B116-7FDC2443D78A}"/>
    <dgm:cxn modelId="{E8241252-0A01-499B-B465-F10786596BA2}" srcId="{23DD08B0-4B15-4323-BF97-409BACE7DC07}" destId="{D925F568-FA3A-4BCE-A6EE-FCA1B32FE555}" srcOrd="0" destOrd="0" parTransId="{5716991D-5374-4B59-B757-381C75FED387}" sibTransId="{C64D94CE-CC4D-4662-9B7A-6C29230470EF}"/>
    <dgm:cxn modelId="{44D05473-0004-4114-B5F1-F2C904FA8B5B}" srcId="{23DD08B0-4B15-4323-BF97-409BACE7DC07}" destId="{5AD3ED98-B6E9-4C28-8327-EFE31B7877B9}" srcOrd="1" destOrd="0" parTransId="{B7BC6BDE-59D9-473F-9A85-9982B58DC7A6}" sibTransId="{5FDB98B7-4487-4C29-A3FC-F55C0032F904}"/>
    <dgm:cxn modelId="{DEE14457-944C-4E87-B95B-9AFC38FA989C}" type="presOf" srcId="{78D9E0DD-1269-41C1-8940-A4CE4342B940}" destId="{32ECD0C9-CDF9-41E3-A150-45DC01BD3F68}" srcOrd="0" destOrd="2" presId="urn:microsoft.com/office/officeart/2005/8/layout/hList2"/>
    <dgm:cxn modelId="{AFA5097B-FD52-4B47-A3E1-B32921FE6477}" type="presOf" srcId="{7AD34229-BF1D-47F7-B32A-D30EEF91249B}" destId="{32ECD0C9-CDF9-41E3-A150-45DC01BD3F68}" srcOrd="0" destOrd="8" presId="urn:microsoft.com/office/officeart/2005/8/layout/hList2"/>
    <dgm:cxn modelId="{9CDEE07B-6D08-4FD2-8189-8F8A8710B318}" srcId="{35B67852-A862-4317-B441-5B4954A5A1BA}" destId="{03D9E14B-EF7F-4FB4-A4E2-2D248E6B914C}" srcOrd="10" destOrd="0" parTransId="{B68217B9-6E15-4A18-AAA5-F545C7CF5A60}" sibTransId="{B7834B06-531D-4FB7-A0A3-108C57ACCB91}"/>
    <dgm:cxn modelId="{FD84307D-88C6-4827-89C0-DA688EA8D6E8}" srcId="{35B67852-A862-4317-B441-5B4954A5A1BA}" destId="{0D67D4D8-4BCE-432E-BF0F-9B5CA0ECDCB3}" srcOrd="4" destOrd="0" parTransId="{1C9760B8-4B61-4DD4-97C8-BFF844F618D2}" sibTransId="{29D5CD58-A42D-4505-AF4B-1A691055C1C2}"/>
    <dgm:cxn modelId="{55879C7D-69C3-4544-BC49-5C30DABE31E9}" type="presOf" srcId="{8D592D5E-4351-486A-9BE6-83B458867E63}" destId="{8BEB32A8-ED5C-4145-8FFB-E504CD56CB55}" srcOrd="0" destOrd="8" presId="urn:microsoft.com/office/officeart/2005/8/layout/hList2"/>
    <dgm:cxn modelId="{E085D880-19AF-4B07-A699-370BAF171FA9}" srcId="{35B67852-A862-4317-B441-5B4954A5A1BA}" destId="{267D7BBA-1829-43AD-A851-562CA443165F}" srcOrd="5" destOrd="0" parTransId="{F5CC7F13-7C1B-4D7C-8DE0-D66F33519E82}" sibTransId="{A87CFA7A-D230-4F3A-99A4-EECC11B4D77F}"/>
    <dgm:cxn modelId="{1245F894-3646-43D7-820F-E759DDE55A2C}" type="presOf" srcId="{2546D1FC-85A0-4802-9921-F7C29D078AE1}" destId="{8BEB32A8-ED5C-4145-8FFB-E504CD56CB55}" srcOrd="0" destOrd="3" presId="urn:microsoft.com/office/officeart/2005/8/layout/hList2"/>
    <dgm:cxn modelId="{7AFA4498-C937-4B78-AE1E-2630833BC120}" srcId="{23DD08B0-4B15-4323-BF97-409BACE7DC07}" destId="{CD2E0FB2-0F9B-4B4A-A36C-3BC1AE983977}" srcOrd="5" destOrd="0" parTransId="{4D02141B-1C6E-42F3-AE0A-539017AD3C67}" sibTransId="{1CE7ADB5-E93D-4E5E-8F4B-A0B79F3B7DBD}"/>
    <dgm:cxn modelId="{5059C298-2E9F-4CBC-A279-BC49AB7DBC00}" srcId="{23DD08B0-4B15-4323-BF97-409BACE7DC07}" destId="{2546D1FC-85A0-4802-9921-F7C29D078AE1}" srcOrd="3" destOrd="0" parTransId="{39E5E6A1-A388-471B-B376-4967CE54AAF5}" sibTransId="{8DF4ED50-4366-4B37-B529-FD84AAFE2D03}"/>
    <dgm:cxn modelId="{B89E8999-31F0-4569-870D-14203F8F00D1}" type="presOf" srcId="{4D2770BB-94B5-41B0-A2BF-4ABC5CB48686}" destId="{32ECD0C9-CDF9-41E3-A150-45DC01BD3F68}" srcOrd="0" destOrd="3" presId="urn:microsoft.com/office/officeart/2005/8/layout/hList2"/>
    <dgm:cxn modelId="{90939F99-23B7-4678-9F3D-2154BE769DA5}" type="presOf" srcId="{9B002161-F60E-4ACA-A228-ACCEB3EACF1E}" destId="{8BEB32A8-ED5C-4145-8FFB-E504CD56CB55}" srcOrd="0" destOrd="2" presId="urn:microsoft.com/office/officeart/2005/8/layout/hList2"/>
    <dgm:cxn modelId="{CFF1209A-01B2-40D5-B4CB-E1905BFE4D91}" srcId="{23DD08B0-4B15-4323-BF97-409BACE7DC07}" destId="{8D592D5E-4351-486A-9BE6-83B458867E63}" srcOrd="8" destOrd="0" parTransId="{E3E5AD88-971E-4B55-A0F7-679D98FAA708}" sibTransId="{7367678D-7F82-4ED9-93BF-4A00F6B046A4}"/>
    <dgm:cxn modelId="{7EABC5A6-8935-4985-A8E1-9FE78E75E9C1}" type="presOf" srcId="{CD2E0FB2-0F9B-4B4A-A36C-3BC1AE983977}" destId="{8BEB32A8-ED5C-4145-8FFB-E504CD56CB55}" srcOrd="0" destOrd="5" presId="urn:microsoft.com/office/officeart/2005/8/layout/hList2"/>
    <dgm:cxn modelId="{5299C0A8-AD26-4E79-8D84-A0568944E223}" type="presOf" srcId="{23DD08B0-4B15-4323-BF97-409BACE7DC07}" destId="{F36C3D22-88F8-46AE-BC25-4AB1E10548F8}" srcOrd="0" destOrd="0" presId="urn:microsoft.com/office/officeart/2005/8/layout/hList2"/>
    <dgm:cxn modelId="{7309C7BE-88DB-4D11-83E5-F82A798D7E47}" type="presOf" srcId="{D9FADE74-0E05-4910-8D71-EC18A44B4948}" destId="{8BEB32A8-ED5C-4145-8FFB-E504CD56CB55}" srcOrd="0" destOrd="4" presId="urn:microsoft.com/office/officeart/2005/8/layout/hList2"/>
    <dgm:cxn modelId="{058033BF-B51E-46C5-9F8B-FA1D6C95EB81}" srcId="{1C3E64F2-4861-41E9-8CBD-AD431448BE3B}" destId="{35B67852-A862-4317-B441-5B4954A5A1BA}" srcOrd="1" destOrd="0" parTransId="{798BF063-9137-4D88-A0C6-B0D68FF0C159}" sibTransId="{72AAD66B-BCF4-4BC7-86FA-54BE86FBB5E2}"/>
    <dgm:cxn modelId="{073B01D1-DB0E-4699-B713-DD89091ED8AB}" type="presOf" srcId="{CDAFB658-9A09-4A44-BC38-542840C3838D}" destId="{32ECD0C9-CDF9-41E3-A150-45DC01BD3F68}" srcOrd="0" destOrd="7" presId="urn:microsoft.com/office/officeart/2005/8/layout/hList2"/>
    <dgm:cxn modelId="{0CBAE9D7-55AA-4922-B6EA-094E5886F739}" type="presOf" srcId="{35B67852-A862-4317-B441-5B4954A5A1BA}" destId="{E03984C2-62BA-472F-8E81-7E2893C02F50}" srcOrd="0" destOrd="0" presId="urn:microsoft.com/office/officeart/2005/8/layout/hList2"/>
    <dgm:cxn modelId="{35ED85DC-6C17-4230-919F-262AB0205961}" srcId="{23DD08B0-4B15-4323-BF97-409BACE7DC07}" destId="{30D0F82C-0F0D-43FB-B986-405C16B55E4E}" srcOrd="6" destOrd="0" parTransId="{C13BBFE4-74FF-426C-9FCD-7BB0889C612E}" sibTransId="{BA1E6770-4E9C-4686-9E49-1ED0D9A2AD19}"/>
    <dgm:cxn modelId="{4A2AC9DD-D254-4F46-BAAE-8CEAA5D294E1}" srcId="{23DD08B0-4B15-4323-BF97-409BACE7DC07}" destId="{50569ACE-614F-4D60-BD58-2D1428FE6E2A}" srcOrd="7" destOrd="0" parTransId="{AD7D5D50-C03D-447C-8099-A1E28D05663D}" sibTransId="{5C7D207F-2F81-455F-8527-A87F3A86E1E3}"/>
    <dgm:cxn modelId="{BD7EBEE8-EADB-4637-84FD-7A93D63288DC}" srcId="{35B67852-A862-4317-B441-5B4954A5A1BA}" destId="{9DE758B0-8762-4E09-B347-C7CE16B411A2}" srcOrd="0" destOrd="0" parTransId="{D638B95E-1E07-4392-88E4-2D4E1FAA5717}" sibTransId="{DA812313-C8EA-481E-AE29-789CFDB3D2F8}"/>
    <dgm:cxn modelId="{A45F93E9-4B4D-4B44-98EC-CDCCF7B79101}" type="presOf" srcId="{76049C0E-FD33-451E-B320-DF75C532AC0D}" destId="{32ECD0C9-CDF9-41E3-A150-45DC01BD3F68}" srcOrd="0" destOrd="1" presId="urn:microsoft.com/office/officeart/2005/8/layout/hList2"/>
    <dgm:cxn modelId="{71C1D8ED-D6C8-4B44-8677-D7DB59C96AD5}" type="presParOf" srcId="{9923918A-7370-4BB0-8ABF-50CB3DF4F450}" destId="{CAC7CA85-EEC1-43F3-88B2-9D619A5DEB72}" srcOrd="0" destOrd="0" presId="urn:microsoft.com/office/officeart/2005/8/layout/hList2"/>
    <dgm:cxn modelId="{C58F5ABA-E3AB-4896-9401-63D9B0C73707}" type="presParOf" srcId="{CAC7CA85-EEC1-43F3-88B2-9D619A5DEB72}" destId="{132D74F2-AC9F-4D9E-B49E-C827FD2E6417}" srcOrd="0" destOrd="0" presId="urn:microsoft.com/office/officeart/2005/8/layout/hList2"/>
    <dgm:cxn modelId="{71DE255C-D2BB-461F-BB43-25BEC8005DF9}" type="presParOf" srcId="{CAC7CA85-EEC1-43F3-88B2-9D619A5DEB72}" destId="{8BEB32A8-ED5C-4145-8FFB-E504CD56CB55}" srcOrd="1" destOrd="0" presId="urn:microsoft.com/office/officeart/2005/8/layout/hList2"/>
    <dgm:cxn modelId="{E9759C9E-4430-4EFC-94FB-941FEBCE4230}" type="presParOf" srcId="{CAC7CA85-EEC1-43F3-88B2-9D619A5DEB72}" destId="{F36C3D22-88F8-46AE-BC25-4AB1E10548F8}" srcOrd="2" destOrd="0" presId="urn:microsoft.com/office/officeart/2005/8/layout/hList2"/>
    <dgm:cxn modelId="{9C6BD231-1420-4B34-9BEE-19F5A30E890C}" type="presParOf" srcId="{9923918A-7370-4BB0-8ABF-50CB3DF4F450}" destId="{D831A093-82CC-4998-88F7-605F140D54F4}" srcOrd="1" destOrd="0" presId="urn:microsoft.com/office/officeart/2005/8/layout/hList2"/>
    <dgm:cxn modelId="{6A9BE70C-E085-4E55-BA25-3E51AFF542F1}" type="presParOf" srcId="{9923918A-7370-4BB0-8ABF-50CB3DF4F450}" destId="{5A57B480-049E-4087-85A4-93A442C4C98B}" srcOrd="2" destOrd="0" presId="urn:microsoft.com/office/officeart/2005/8/layout/hList2"/>
    <dgm:cxn modelId="{9D8961CE-B313-435B-ABD8-3E8BD7233EED}" type="presParOf" srcId="{5A57B480-049E-4087-85A4-93A442C4C98B}" destId="{B7735165-8729-4709-8974-B3E43946AF19}" srcOrd="0" destOrd="0" presId="urn:microsoft.com/office/officeart/2005/8/layout/hList2"/>
    <dgm:cxn modelId="{48AEAA59-ED32-4CED-B693-9EB292D19431}" type="presParOf" srcId="{5A57B480-049E-4087-85A4-93A442C4C98B}" destId="{32ECD0C9-CDF9-41E3-A150-45DC01BD3F68}" srcOrd="1" destOrd="0" presId="urn:microsoft.com/office/officeart/2005/8/layout/hList2"/>
    <dgm:cxn modelId="{790C7961-39F6-4ED5-B175-328F3A23BBCB}" type="presParOf" srcId="{5A57B480-049E-4087-85A4-93A442C4C98B}" destId="{E03984C2-62BA-472F-8E81-7E2893C02F50}" srcOrd="2" destOrd="0" presId="urn:microsoft.com/office/officeart/2005/8/layout/hList2"/>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0DFB21A-229C-4B73-BA0A-318A34AB403C}" type="doc">
      <dgm:prSet loTypeId="urn:microsoft.com/office/officeart/2005/8/layout/bProcess4" loCatId="process" qsTypeId="urn:microsoft.com/office/officeart/2005/8/quickstyle/simple1" qsCatId="simple" csTypeId="urn:microsoft.com/office/officeart/2005/8/colors/accent6_2" csCatId="accent6" phldr="1"/>
      <dgm:spPr/>
      <dgm:t>
        <a:bodyPr/>
        <a:lstStyle/>
        <a:p>
          <a:endParaRPr lang="es-CR"/>
        </a:p>
      </dgm:t>
    </dgm:pt>
    <dgm:pt modelId="{98A074E3-ADA5-48E9-9AD6-E19C484D07AA}">
      <dgm:prSet phldrT="[Texto]" custT="1"/>
      <dgm:spPr/>
      <dgm:t>
        <a:bodyPr/>
        <a:lstStyle/>
        <a:p>
          <a:pPr algn="ctr"/>
          <a:r>
            <a:rPr lang="es-CR" sz="800"/>
            <a:t>Vinculación MEIC-CFMI</a:t>
          </a:r>
        </a:p>
      </dgm:t>
    </dgm:pt>
    <dgm:pt modelId="{6E1BDF8A-4279-4561-A17C-A2C14A6E5AE2}" type="parTrans" cxnId="{B739F398-CF80-41C8-BF04-0C864B4CAB2C}">
      <dgm:prSet/>
      <dgm:spPr/>
      <dgm:t>
        <a:bodyPr/>
        <a:lstStyle/>
        <a:p>
          <a:pPr algn="ctr"/>
          <a:endParaRPr lang="es-CR" sz="1000"/>
        </a:p>
      </dgm:t>
    </dgm:pt>
    <dgm:pt modelId="{658426D0-268E-48EA-BEA3-56B19D5DABC9}" type="sibTrans" cxnId="{B739F398-CF80-41C8-BF04-0C864B4CAB2C}">
      <dgm:prSet/>
      <dgm:spPr/>
      <dgm:t>
        <a:bodyPr/>
        <a:lstStyle/>
        <a:p>
          <a:pPr algn="ctr"/>
          <a:endParaRPr lang="es-CR" sz="1000"/>
        </a:p>
      </dgm:t>
    </dgm:pt>
    <dgm:pt modelId="{CA1561BD-1FB2-4225-A419-ACE12803351C}">
      <dgm:prSet phldrT="[Texto]" custT="1"/>
      <dgm:spPr/>
      <dgm:t>
        <a:bodyPr/>
        <a:lstStyle/>
        <a:p>
          <a:pPr algn="ctr"/>
          <a:r>
            <a:rPr lang="es-CR" sz="800"/>
            <a:t>Identificación de necesidades sectoriales</a:t>
          </a:r>
        </a:p>
      </dgm:t>
    </dgm:pt>
    <dgm:pt modelId="{4EF99A1C-CBF6-41B1-8395-F22353938AA4}" type="parTrans" cxnId="{FEBEFABA-5A8E-4AE3-9827-819DCF174411}">
      <dgm:prSet/>
      <dgm:spPr/>
      <dgm:t>
        <a:bodyPr/>
        <a:lstStyle/>
        <a:p>
          <a:pPr algn="ctr"/>
          <a:endParaRPr lang="es-CR" sz="1000"/>
        </a:p>
      </dgm:t>
    </dgm:pt>
    <dgm:pt modelId="{61D865A8-08DF-46D7-A5E4-824EE4F7113E}" type="sibTrans" cxnId="{FEBEFABA-5A8E-4AE3-9827-819DCF174411}">
      <dgm:prSet/>
      <dgm:spPr/>
      <dgm:t>
        <a:bodyPr/>
        <a:lstStyle/>
        <a:p>
          <a:pPr algn="ctr"/>
          <a:endParaRPr lang="es-CR" sz="1000"/>
        </a:p>
      </dgm:t>
    </dgm:pt>
    <dgm:pt modelId="{A8EFA96B-D27F-438E-9717-EBB545DBA8CB}">
      <dgm:prSet phldrT="[Texto]" custT="1"/>
      <dgm:spPr/>
      <dgm:t>
        <a:bodyPr/>
        <a:lstStyle/>
        <a:p>
          <a:pPr algn="ctr"/>
          <a:r>
            <a:rPr lang="es-CR" sz="800"/>
            <a:t>Definir los departamentos del MEIC vinculados</a:t>
          </a:r>
        </a:p>
      </dgm:t>
    </dgm:pt>
    <dgm:pt modelId="{105AEEC2-3073-43D1-A42C-CE788DDFE63A}" type="parTrans" cxnId="{BC93BFD0-B361-45EB-A984-CCEAEE0159E8}">
      <dgm:prSet/>
      <dgm:spPr/>
      <dgm:t>
        <a:bodyPr/>
        <a:lstStyle/>
        <a:p>
          <a:pPr algn="ctr"/>
          <a:endParaRPr lang="es-CR" sz="1000"/>
        </a:p>
      </dgm:t>
    </dgm:pt>
    <dgm:pt modelId="{7277C537-9280-4B6C-B960-5FF01EEA2F85}" type="sibTrans" cxnId="{BC93BFD0-B361-45EB-A984-CCEAEE0159E8}">
      <dgm:prSet/>
      <dgm:spPr/>
      <dgm:t>
        <a:bodyPr/>
        <a:lstStyle/>
        <a:p>
          <a:pPr algn="ctr"/>
          <a:endParaRPr lang="es-CR" sz="1000"/>
        </a:p>
      </dgm:t>
    </dgm:pt>
    <dgm:pt modelId="{1574E28A-9BBB-42FD-9739-4C8B2A585358}">
      <dgm:prSet phldrT="[Texto]" custT="1"/>
      <dgm:spPr/>
      <dgm:t>
        <a:bodyPr/>
        <a:lstStyle/>
        <a:p>
          <a:pPr algn="ctr"/>
          <a:r>
            <a:rPr lang="es-CR" sz="800"/>
            <a:t>CFMI como canalizador de empresas o ideas de negocio forestal</a:t>
          </a:r>
        </a:p>
      </dgm:t>
    </dgm:pt>
    <dgm:pt modelId="{D5AC9116-B5E0-4B87-A077-BE7936894735}" type="parTrans" cxnId="{6F9F9B78-30B4-4D3E-9DCE-CA5D80B7E19F}">
      <dgm:prSet/>
      <dgm:spPr/>
      <dgm:t>
        <a:bodyPr/>
        <a:lstStyle/>
        <a:p>
          <a:pPr algn="ctr"/>
          <a:endParaRPr lang="es-CR" sz="1000"/>
        </a:p>
      </dgm:t>
    </dgm:pt>
    <dgm:pt modelId="{D668A44A-CFB9-4F9B-A4FE-517A47AF7F89}" type="sibTrans" cxnId="{6F9F9B78-30B4-4D3E-9DCE-CA5D80B7E19F}">
      <dgm:prSet/>
      <dgm:spPr/>
      <dgm:t>
        <a:bodyPr/>
        <a:lstStyle/>
        <a:p>
          <a:pPr algn="ctr"/>
          <a:endParaRPr lang="es-CR" sz="1000"/>
        </a:p>
      </dgm:t>
    </dgm:pt>
    <dgm:pt modelId="{207985F2-B80B-4356-BA12-BA82E2F7F016}">
      <dgm:prSet phldrT="[Texto]" custT="1"/>
      <dgm:spPr/>
      <dgm:t>
        <a:bodyPr/>
        <a:lstStyle/>
        <a:p>
          <a:pPr algn="ctr"/>
          <a:r>
            <a:rPr lang="es-CR" sz="800"/>
            <a:t>Asesoría y análisis de empresas y productos CFMI</a:t>
          </a:r>
        </a:p>
      </dgm:t>
    </dgm:pt>
    <dgm:pt modelId="{56B3BE8F-E2BD-4320-821E-8CD7768D9CE2}" type="parTrans" cxnId="{B9522D85-448F-422C-85C3-6315BB1609BF}">
      <dgm:prSet/>
      <dgm:spPr/>
      <dgm:t>
        <a:bodyPr/>
        <a:lstStyle/>
        <a:p>
          <a:pPr algn="ctr"/>
          <a:endParaRPr lang="es-CR" sz="1000"/>
        </a:p>
      </dgm:t>
    </dgm:pt>
    <dgm:pt modelId="{4211EA70-D6CE-4821-943A-27F67872B356}" type="sibTrans" cxnId="{B9522D85-448F-422C-85C3-6315BB1609BF}">
      <dgm:prSet/>
      <dgm:spPr/>
      <dgm:t>
        <a:bodyPr/>
        <a:lstStyle/>
        <a:p>
          <a:pPr algn="ctr"/>
          <a:endParaRPr lang="es-CR" sz="1000"/>
        </a:p>
      </dgm:t>
    </dgm:pt>
    <dgm:pt modelId="{91EA9133-67DE-4969-A9D1-58F3A24A3FA2}">
      <dgm:prSet phldrT="[Texto]" custT="1"/>
      <dgm:spPr/>
      <dgm:t>
        <a:bodyPr/>
        <a:lstStyle/>
        <a:p>
          <a:pPr algn="ctr"/>
          <a:r>
            <a:rPr lang="es-CR" sz="800"/>
            <a:t>Identificación de la necesidad empresarial en el MEIC</a:t>
          </a:r>
        </a:p>
      </dgm:t>
    </dgm:pt>
    <dgm:pt modelId="{B181DA81-4E0C-4A10-BD78-1D3FA7CF34D2}" type="parTrans" cxnId="{3141A70A-BB84-4D78-906E-787E7195E642}">
      <dgm:prSet/>
      <dgm:spPr/>
      <dgm:t>
        <a:bodyPr/>
        <a:lstStyle/>
        <a:p>
          <a:pPr algn="ctr"/>
          <a:endParaRPr lang="es-CR" sz="1000"/>
        </a:p>
      </dgm:t>
    </dgm:pt>
    <dgm:pt modelId="{83D0919D-FA9D-45CA-A97D-624C738E1E5C}" type="sibTrans" cxnId="{3141A70A-BB84-4D78-906E-787E7195E642}">
      <dgm:prSet/>
      <dgm:spPr/>
      <dgm:t>
        <a:bodyPr/>
        <a:lstStyle/>
        <a:p>
          <a:pPr algn="ctr"/>
          <a:endParaRPr lang="es-CR" sz="1000"/>
        </a:p>
      </dgm:t>
    </dgm:pt>
    <dgm:pt modelId="{4EEBB5F8-AC8B-4C5E-9844-89963D62137E}">
      <dgm:prSet phldrT="[Texto]" custT="1"/>
      <dgm:spPr/>
      <dgm:t>
        <a:bodyPr/>
        <a:lstStyle/>
        <a:p>
          <a:pPr algn="ctr"/>
          <a:r>
            <a:rPr lang="es-CR" sz="800"/>
            <a:t>Vínculo con el mercado local, estrategias nacionales</a:t>
          </a:r>
        </a:p>
      </dgm:t>
    </dgm:pt>
    <dgm:pt modelId="{64B5B109-AFF3-49FA-A343-F02B86044942}" type="parTrans" cxnId="{DF2C5250-814A-464F-8366-81261B0E7F0C}">
      <dgm:prSet/>
      <dgm:spPr/>
      <dgm:t>
        <a:bodyPr/>
        <a:lstStyle/>
        <a:p>
          <a:pPr algn="ctr"/>
          <a:endParaRPr lang="es-CR" sz="1000"/>
        </a:p>
      </dgm:t>
    </dgm:pt>
    <dgm:pt modelId="{D5B505EB-8969-40BE-8890-EA82EB53903A}" type="sibTrans" cxnId="{DF2C5250-814A-464F-8366-81261B0E7F0C}">
      <dgm:prSet/>
      <dgm:spPr/>
      <dgm:t>
        <a:bodyPr/>
        <a:lstStyle/>
        <a:p>
          <a:pPr algn="ctr"/>
          <a:endParaRPr lang="es-CR" sz="1000"/>
        </a:p>
      </dgm:t>
    </dgm:pt>
    <dgm:pt modelId="{D1860138-5359-4B7E-BE26-BFD234223B5D}">
      <dgm:prSet phldrT="[Texto]" custT="1"/>
      <dgm:spPr/>
      <dgm:t>
        <a:bodyPr/>
        <a:lstStyle/>
        <a:p>
          <a:pPr algn="ctr"/>
          <a:r>
            <a:rPr lang="es-CR" sz="800"/>
            <a:t>Estudios y analisis complementacios MEIC</a:t>
          </a:r>
        </a:p>
      </dgm:t>
    </dgm:pt>
    <dgm:pt modelId="{C98D8B97-5336-49D0-928F-79305613615B}" type="parTrans" cxnId="{8E872B34-2981-45FE-A84F-3ECDDA3F71A1}">
      <dgm:prSet/>
      <dgm:spPr/>
      <dgm:t>
        <a:bodyPr/>
        <a:lstStyle/>
        <a:p>
          <a:pPr algn="ctr"/>
          <a:endParaRPr lang="es-CR" sz="1000"/>
        </a:p>
      </dgm:t>
    </dgm:pt>
    <dgm:pt modelId="{1C7A91AE-EE5F-42A2-BA26-8DB5789C2928}" type="sibTrans" cxnId="{8E872B34-2981-45FE-A84F-3ECDDA3F71A1}">
      <dgm:prSet/>
      <dgm:spPr/>
      <dgm:t>
        <a:bodyPr/>
        <a:lstStyle/>
        <a:p>
          <a:pPr algn="ctr"/>
          <a:endParaRPr lang="es-CR" sz="1000"/>
        </a:p>
      </dgm:t>
    </dgm:pt>
    <dgm:pt modelId="{09DD6C10-780A-4994-907B-B1177D0B3799}">
      <dgm:prSet phldrT="[Texto]" custT="1"/>
      <dgm:spPr/>
      <dgm:t>
        <a:bodyPr/>
        <a:lstStyle/>
        <a:p>
          <a:pPr algn="ctr"/>
          <a:r>
            <a:rPr lang="es-CR" sz="800"/>
            <a:t>Oportunidades de financiamiento</a:t>
          </a:r>
        </a:p>
      </dgm:t>
    </dgm:pt>
    <dgm:pt modelId="{15C1931A-DC7E-42D0-9448-1BB7264A7CE4}" type="parTrans" cxnId="{1C4B4E5A-5918-481A-880A-FD2F3874088B}">
      <dgm:prSet/>
      <dgm:spPr/>
      <dgm:t>
        <a:bodyPr/>
        <a:lstStyle/>
        <a:p>
          <a:pPr algn="ctr"/>
          <a:endParaRPr lang="es-CR" sz="1000"/>
        </a:p>
      </dgm:t>
    </dgm:pt>
    <dgm:pt modelId="{C08E8D3E-3F6B-40F7-9842-5B744D48AB9D}" type="sibTrans" cxnId="{1C4B4E5A-5918-481A-880A-FD2F3874088B}">
      <dgm:prSet/>
      <dgm:spPr/>
      <dgm:t>
        <a:bodyPr/>
        <a:lstStyle/>
        <a:p>
          <a:pPr algn="ctr"/>
          <a:endParaRPr lang="es-CR" sz="1000"/>
        </a:p>
      </dgm:t>
    </dgm:pt>
    <dgm:pt modelId="{8A7CF2B1-BD74-4F24-84B3-69EB304C15E7}" type="pres">
      <dgm:prSet presAssocID="{F0DFB21A-229C-4B73-BA0A-318A34AB403C}" presName="Name0" presStyleCnt="0">
        <dgm:presLayoutVars>
          <dgm:dir/>
          <dgm:resizeHandles/>
        </dgm:presLayoutVars>
      </dgm:prSet>
      <dgm:spPr/>
    </dgm:pt>
    <dgm:pt modelId="{CDAD2448-53CB-4A3C-8DC0-A4F074A6FDF1}" type="pres">
      <dgm:prSet presAssocID="{98A074E3-ADA5-48E9-9AD6-E19C484D07AA}" presName="compNode" presStyleCnt="0"/>
      <dgm:spPr/>
    </dgm:pt>
    <dgm:pt modelId="{46BD0E24-349F-4010-B99C-CA485A81BDDE}" type="pres">
      <dgm:prSet presAssocID="{98A074E3-ADA5-48E9-9AD6-E19C484D07AA}" presName="dummyConnPt" presStyleCnt="0"/>
      <dgm:spPr/>
    </dgm:pt>
    <dgm:pt modelId="{C31F3AED-3249-458B-8597-A177AFECB6F2}" type="pres">
      <dgm:prSet presAssocID="{98A074E3-ADA5-48E9-9AD6-E19C484D07AA}" presName="node" presStyleLbl="node1" presStyleIdx="0" presStyleCnt="9">
        <dgm:presLayoutVars>
          <dgm:bulletEnabled val="1"/>
        </dgm:presLayoutVars>
      </dgm:prSet>
      <dgm:spPr/>
    </dgm:pt>
    <dgm:pt modelId="{2478E3CA-F3AE-4CDB-A9EA-14526397623C}" type="pres">
      <dgm:prSet presAssocID="{658426D0-268E-48EA-BEA3-56B19D5DABC9}" presName="sibTrans" presStyleLbl="bgSibTrans2D1" presStyleIdx="0" presStyleCnt="8"/>
      <dgm:spPr/>
    </dgm:pt>
    <dgm:pt modelId="{551EB7D1-F8C0-49F5-85D7-839290D84433}" type="pres">
      <dgm:prSet presAssocID="{CA1561BD-1FB2-4225-A419-ACE12803351C}" presName="compNode" presStyleCnt="0"/>
      <dgm:spPr/>
    </dgm:pt>
    <dgm:pt modelId="{445B81C3-BA9B-48FB-947E-AE1CA766D9F0}" type="pres">
      <dgm:prSet presAssocID="{CA1561BD-1FB2-4225-A419-ACE12803351C}" presName="dummyConnPt" presStyleCnt="0"/>
      <dgm:spPr/>
    </dgm:pt>
    <dgm:pt modelId="{91A16BC3-FB86-4AC5-A9A1-BF7CCF7CE811}" type="pres">
      <dgm:prSet presAssocID="{CA1561BD-1FB2-4225-A419-ACE12803351C}" presName="node" presStyleLbl="node1" presStyleIdx="1" presStyleCnt="9">
        <dgm:presLayoutVars>
          <dgm:bulletEnabled val="1"/>
        </dgm:presLayoutVars>
      </dgm:prSet>
      <dgm:spPr/>
    </dgm:pt>
    <dgm:pt modelId="{74F3C69A-5F22-427E-901A-51157CC2C78D}" type="pres">
      <dgm:prSet presAssocID="{61D865A8-08DF-46D7-A5E4-824EE4F7113E}" presName="sibTrans" presStyleLbl="bgSibTrans2D1" presStyleIdx="1" presStyleCnt="8"/>
      <dgm:spPr/>
    </dgm:pt>
    <dgm:pt modelId="{F3EDDA9B-99C3-4EAA-90D0-8E157A791E15}" type="pres">
      <dgm:prSet presAssocID="{A8EFA96B-D27F-438E-9717-EBB545DBA8CB}" presName="compNode" presStyleCnt="0"/>
      <dgm:spPr/>
    </dgm:pt>
    <dgm:pt modelId="{7AF26CF7-0DBF-4691-BB1A-AB54FED65CE1}" type="pres">
      <dgm:prSet presAssocID="{A8EFA96B-D27F-438E-9717-EBB545DBA8CB}" presName="dummyConnPt" presStyleCnt="0"/>
      <dgm:spPr/>
    </dgm:pt>
    <dgm:pt modelId="{FDF7D924-17E4-4D34-BA89-63231CAE4B51}" type="pres">
      <dgm:prSet presAssocID="{A8EFA96B-D27F-438E-9717-EBB545DBA8CB}" presName="node" presStyleLbl="node1" presStyleIdx="2" presStyleCnt="9">
        <dgm:presLayoutVars>
          <dgm:bulletEnabled val="1"/>
        </dgm:presLayoutVars>
      </dgm:prSet>
      <dgm:spPr/>
    </dgm:pt>
    <dgm:pt modelId="{757C6939-4282-4C87-82EC-205CF5E78422}" type="pres">
      <dgm:prSet presAssocID="{7277C537-9280-4B6C-B960-5FF01EEA2F85}" presName="sibTrans" presStyleLbl="bgSibTrans2D1" presStyleIdx="2" presStyleCnt="8"/>
      <dgm:spPr/>
    </dgm:pt>
    <dgm:pt modelId="{FE9893C7-DC41-4F20-AD3D-48A9FF5330AD}" type="pres">
      <dgm:prSet presAssocID="{1574E28A-9BBB-42FD-9739-4C8B2A585358}" presName="compNode" presStyleCnt="0"/>
      <dgm:spPr/>
    </dgm:pt>
    <dgm:pt modelId="{6484AA94-9C9F-4BF3-B401-3E2A34EB8140}" type="pres">
      <dgm:prSet presAssocID="{1574E28A-9BBB-42FD-9739-4C8B2A585358}" presName="dummyConnPt" presStyleCnt="0"/>
      <dgm:spPr/>
    </dgm:pt>
    <dgm:pt modelId="{8D1DD5DE-D4CB-4712-8906-553F53B69630}" type="pres">
      <dgm:prSet presAssocID="{1574E28A-9BBB-42FD-9739-4C8B2A585358}" presName="node" presStyleLbl="node1" presStyleIdx="3" presStyleCnt="9">
        <dgm:presLayoutVars>
          <dgm:bulletEnabled val="1"/>
        </dgm:presLayoutVars>
      </dgm:prSet>
      <dgm:spPr/>
    </dgm:pt>
    <dgm:pt modelId="{209826FB-54C4-4D64-BF19-641C2328CE9E}" type="pres">
      <dgm:prSet presAssocID="{D668A44A-CFB9-4F9B-A4FE-517A47AF7F89}" presName="sibTrans" presStyleLbl="bgSibTrans2D1" presStyleIdx="3" presStyleCnt="8"/>
      <dgm:spPr/>
    </dgm:pt>
    <dgm:pt modelId="{28AFEC62-DC22-4BBB-9C60-572E35C06DBC}" type="pres">
      <dgm:prSet presAssocID="{207985F2-B80B-4356-BA12-BA82E2F7F016}" presName="compNode" presStyleCnt="0"/>
      <dgm:spPr/>
    </dgm:pt>
    <dgm:pt modelId="{FA01451A-4384-46B8-AFB0-951B0B19DFE5}" type="pres">
      <dgm:prSet presAssocID="{207985F2-B80B-4356-BA12-BA82E2F7F016}" presName="dummyConnPt" presStyleCnt="0"/>
      <dgm:spPr/>
    </dgm:pt>
    <dgm:pt modelId="{FF18AD11-21EF-4EBA-B394-6352E26ADCA2}" type="pres">
      <dgm:prSet presAssocID="{207985F2-B80B-4356-BA12-BA82E2F7F016}" presName="node" presStyleLbl="node1" presStyleIdx="4" presStyleCnt="9">
        <dgm:presLayoutVars>
          <dgm:bulletEnabled val="1"/>
        </dgm:presLayoutVars>
      </dgm:prSet>
      <dgm:spPr/>
    </dgm:pt>
    <dgm:pt modelId="{D8A00AB2-A301-40C2-A2FD-AEBDC36B06F1}" type="pres">
      <dgm:prSet presAssocID="{4211EA70-D6CE-4821-943A-27F67872B356}" presName="sibTrans" presStyleLbl="bgSibTrans2D1" presStyleIdx="4" presStyleCnt="8"/>
      <dgm:spPr/>
    </dgm:pt>
    <dgm:pt modelId="{5D8A6AEC-659B-4BE6-A7F8-3A56F27CA6F7}" type="pres">
      <dgm:prSet presAssocID="{91EA9133-67DE-4969-A9D1-58F3A24A3FA2}" presName="compNode" presStyleCnt="0"/>
      <dgm:spPr/>
    </dgm:pt>
    <dgm:pt modelId="{A55014CD-36D6-4932-B8F1-C78CE2C5DBF1}" type="pres">
      <dgm:prSet presAssocID="{91EA9133-67DE-4969-A9D1-58F3A24A3FA2}" presName="dummyConnPt" presStyleCnt="0"/>
      <dgm:spPr/>
    </dgm:pt>
    <dgm:pt modelId="{DB95D8A5-5AA7-4B72-B1DF-75F7D7EF2CAE}" type="pres">
      <dgm:prSet presAssocID="{91EA9133-67DE-4969-A9D1-58F3A24A3FA2}" presName="node" presStyleLbl="node1" presStyleIdx="5" presStyleCnt="9">
        <dgm:presLayoutVars>
          <dgm:bulletEnabled val="1"/>
        </dgm:presLayoutVars>
      </dgm:prSet>
      <dgm:spPr/>
    </dgm:pt>
    <dgm:pt modelId="{2B222BAD-B4CC-4496-8C05-642919FB00AB}" type="pres">
      <dgm:prSet presAssocID="{83D0919D-FA9D-45CA-A97D-624C738E1E5C}" presName="sibTrans" presStyleLbl="bgSibTrans2D1" presStyleIdx="5" presStyleCnt="8"/>
      <dgm:spPr/>
    </dgm:pt>
    <dgm:pt modelId="{159872EB-60BB-4221-9EAD-F3227401BE2A}" type="pres">
      <dgm:prSet presAssocID="{4EEBB5F8-AC8B-4C5E-9844-89963D62137E}" presName="compNode" presStyleCnt="0"/>
      <dgm:spPr/>
    </dgm:pt>
    <dgm:pt modelId="{3CED62CB-0B19-45B3-9B8F-3D6FA3B2DEFC}" type="pres">
      <dgm:prSet presAssocID="{4EEBB5F8-AC8B-4C5E-9844-89963D62137E}" presName="dummyConnPt" presStyleCnt="0"/>
      <dgm:spPr/>
    </dgm:pt>
    <dgm:pt modelId="{1D073D6F-13B5-48E6-B106-86555422A5C2}" type="pres">
      <dgm:prSet presAssocID="{4EEBB5F8-AC8B-4C5E-9844-89963D62137E}" presName="node" presStyleLbl="node1" presStyleIdx="6" presStyleCnt="9">
        <dgm:presLayoutVars>
          <dgm:bulletEnabled val="1"/>
        </dgm:presLayoutVars>
      </dgm:prSet>
      <dgm:spPr/>
    </dgm:pt>
    <dgm:pt modelId="{FEFECAA8-29AC-4236-94A2-3C85A2477F54}" type="pres">
      <dgm:prSet presAssocID="{D5B505EB-8969-40BE-8890-EA82EB53903A}" presName="sibTrans" presStyleLbl="bgSibTrans2D1" presStyleIdx="6" presStyleCnt="8"/>
      <dgm:spPr/>
    </dgm:pt>
    <dgm:pt modelId="{353AE1EB-B5A6-4EBC-A3D2-8A13718794CB}" type="pres">
      <dgm:prSet presAssocID="{D1860138-5359-4B7E-BE26-BFD234223B5D}" presName="compNode" presStyleCnt="0"/>
      <dgm:spPr/>
    </dgm:pt>
    <dgm:pt modelId="{97BD6BE2-DFB3-494B-A819-0A37923493F6}" type="pres">
      <dgm:prSet presAssocID="{D1860138-5359-4B7E-BE26-BFD234223B5D}" presName="dummyConnPt" presStyleCnt="0"/>
      <dgm:spPr/>
    </dgm:pt>
    <dgm:pt modelId="{1294D758-957E-47CF-A679-213D9EB7ECDC}" type="pres">
      <dgm:prSet presAssocID="{D1860138-5359-4B7E-BE26-BFD234223B5D}" presName="node" presStyleLbl="node1" presStyleIdx="7" presStyleCnt="9">
        <dgm:presLayoutVars>
          <dgm:bulletEnabled val="1"/>
        </dgm:presLayoutVars>
      </dgm:prSet>
      <dgm:spPr/>
    </dgm:pt>
    <dgm:pt modelId="{51CFC35B-6F14-4147-A4BD-FBB496446553}" type="pres">
      <dgm:prSet presAssocID="{1C7A91AE-EE5F-42A2-BA26-8DB5789C2928}" presName="sibTrans" presStyleLbl="bgSibTrans2D1" presStyleIdx="7" presStyleCnt="8"/>
      <dgm:spPr/>
    </dgm:pt>
    <dgm:pt modelId="{6AB1F2F0-4E33-45E6-B3CE-636CD23BC708}" type="pres">
      <dgm:prSet presAssocID="{09DD6C10-780A-4994-907B-B1177D0B3799}" presName="compNode" presStyleCnt="0"/>
      <dgm:spPr/>
    </dgm:pt>
    <dgm:pt modelId="{75B635E0-1184-4CF5-9E77-09FC8E42BC45}" type="pres">
      <dgm:prSet presAssocID="{09DD6C10-780A-4994-907B-B1177D0B3799}" presName="dummyConnPt" presStyleCnt="0"/>
      <dgm:spPr/>
    </dgm:pt>
    <dgm:pt modelId="{D01694C7-6D68-4291-8338-AD40484E43F0}" type="pres">
      <dgm:prSet presAssocID="{09DD6C10-780A-4994-907B-B1177D0B3799}" presName="node" presStyleLbl="node1" presStyleIdx="8" presStyleCnt="9">
        <dgm:presLayoutVars>
          <dgm:bulletEnabled val="1"/>
        </dgm:presLayoutVars>
      </dgm:prSet>
      <dgm:spPr/>
    </dgm:pt>
  </dgm:ptLst>
  <dgm:cxnLst>
    <dgm:cxn modelId="{43466700-FB24-4E4C-94CA-E42BE3FD6BA4}" type="presOf" srcId="{7277C537-9280-4B6C-B960-5FF01EEA2F85}" destId="{757C6939-4282-4C87-82EC-205CF5E78422}" srcOrd="0" destOrd="0" presId="urn:microsoft.com/office/officeart/2005/8/layout/bProcess4"/>
    <dgm:cxn modelId="{3141A70A-BB84-4D78-906E-787E7195E642}" srcId="{F0DFB21A-229C-4B73-BA0A-318A34AB403C}" destId="{91EA9133-67DE-4969-A9D1-58F3A24A3FA2}" srcOrd="5" destOrd="0" parTransId="{B181DA81-4E0C-4A10-BD78-1D3FA7CF34D2}" sibTransId="{83D0919D-FA9D-45CA-A97D-624C738E1E5C}"/>
    <dgm:cxn modelId="{50E56022-969A-46C2-A3B2-2037233B60F2}" type="presOf" srcId="{1574E28A-9BBB-42FD-9739-4C8B2A585358}" destId="{8D1DD5DE-D4CB-4712-8906-553F53B69630}" srcOrd="0" destOrd="0" presId="urn:microsoft.com/office/officeart/2005/8/layout/bProcess4"/>
    <dgm:cxn modelId="{69FE9525-8550-4D54-A1F3-89CDF50D4C63}" type="presOf" srcId="{98A074E3-ADA5-48E9-9AD6-E19C484D07AA}" destId="{C31F3AED-3249-458B-8597-A177AFECB6F2}" srcOrd="0" destOrd="0" presId="urn:microsoft.com/office/officeart/2005/8/layout/bProcess4"/>
    <dgm:cxn modelId="{B8F1A725-CC22-4A76-9611-FC7ADA041CB8}" type="presOf" srcId="{207985F2-B80B-4356-BA12-BA82E2F7F016}" destId="{FF18AD11-21EF-4EBA-B394-6352E26ADCA2}" srcOrd="0" destOrd="0" presId="urn:microsoft.com/office/officeart/2005/8/layout/bProcess4"/>
    <dgm:cxn modelId="{29543126-6547-4E64-BB72-47359E396748}" type="presOf" srcId="{D668A44A-CFB9-4F9B-A4FE-517A47AF7F89}" destId="{209826FB-54C4-4D64-BF19-641C2328CE9E}" srcOrd="0" destOrd="0" presId="urn:microsoft.com/office/officeart/2005/8/layout/bProcess4"/>
    <dgm:cxn modelId="{8E872B34-2981-45FE-A84F-3ECDDA3F71A1}" srcId="{F0DFB21A-229C-4B73-BA0A-318A34AB403C}" destId="{D1860138-5359-4B7E-BE26-BFD234223B5D}" srcOrd="7" destOrd="0" parTransId="{C98D8B97-5336-49D0-928F-79305613615B}" sibTransId="{1C7A91AE-EE5F-42A2-BA26-8DB5789C2928}"/>
    <dgm:cxn modelId="{58C37E34-EFD4-4976-BC86-058AF0F422B8}" type="presOf" srcId="{D5B505EB-8969-40BE-8890-EA82EB53903A}" destId="{FEFECAA8-29AC-4236-94A2-3C85A2477F54}" srcOrd="0" destOrd="0" presId="urn:microsoft.com/office/officeart/2005/8/layout/bProcess4"/>
    <dgm:cxn modelId="{23DAE734-5522-4A33-9057-1A11E2BE2293}" type="presOf" srcId="{D1860138-5359-4B7E-BE26-BFD234223B5D}" destId="{1294D758-957E-47CF-A679-213D9EB7ECDC}" srcOrd="0" destOrd="0" presId="urn:microsoft.com/office/officeart/2005/8/layout/bProcess4"/>
    <dgm:cxn modelId="{CFCFEB4B-4FC7-4A58-B754-432FA0B7C847}" type="presOf" srcId="{658426D0-268E-48EA-BEA3-56B19D5DABC9}" destId="{2478E3CA-F3AE-4CDB-A9EA-14526397623C}" srcOrd="0" destOrd="0" presId="urn:microsoft.com/office/officeart/2005/8/layout/bProcess4"/>
    <dgm:cxn modelId="{DF2C5250-814A-464F-8366-81261B0E7F0C}" srcId="{F0DFB21A-229C-4B73-BA0A-318A34AB403C}" destId="{4EEBB5F8-AC8B-4C5E-9844-89963D62137E}" srcOrd="6" destOrd="0" parTransId="{64B5B109-AFF3-49FA-A343-F02B86044942}" sibTransId="{D5B505EB-8969-40BE-8890-EA82EB53903A}"/>
    <dgm:cxn modelId="{6F9F9B78-30B4-4D3E-9DCE-CA5D80B7E19F}" srcId="{F0DFB21A-229C-4B73-BA0A-318A34AB403C}" destId="{1574E28A-9BBB-42FD-9739-4C8B2A585358}" srcOrd="3" destOrd="0" parTransId="{D5AC9116-B5E0-4B87-A077-BE7936894735}" sibTransId="{D668A44A-CFB9-4F9B-A4FE-517A47AF7F89}"/>
    <dgm:cxn modelId="{1C4B4E5A-5918-481A-880A-FD2F3874088B}" srcId="{F0DFB21A-229C-4B73-BA0A-318A34AB403C}" destId="{09DD6C10-780A-4994-907B-B1177D0B3799}" srcOrd="8" destOrd="0" parTransId="{15C1931A-DC7E-42D0-9448-1BB7264A7CE4}" sibTransId="{C08E8D3E-3F6B-40F7-9842-5B744D48AB9D}"/>
    <dgm:cxn modelId="{B9522D85-448F-422C-85C3-6315BB1609BF}" srcId="{F0DFB21A-229C-4B73-BA0A-318A34AB403C}" destId="{207985F2-B80B-4356-BA12-BA82E2F7F016}" srcOrd="4" destOrd="0" parTransId="{56B3BE8F-E2BD-4320-821E-8CD7768D9CE2}" sibTransId="{4211EA70-D6CE-4821-943A-27F67872B356}"/>
    <dgm:cxn modelId="{CF1B9E8D-14C0-4884-BFB4-4421358D794F}" type="presOf" srcId="{4EEBB5F8-AC8B-4C5E-9844-89963D62137E}" destId="{1D073D6F-13B5-48E6-B106-86555422A5C2}" srcOrd="0" destOrd="0" presId="urn:microsoft.com/office/officeart/2005/8/layout/bProcess4"/>
    <dgm:cxn modelId="{2954368E-838F-4A76-89C5-86962E262E76}" type="presOf" srcId="{61D865A8-08DF-46D7-A5E4-824EE4F7113E}" destId="{74F3C69A-5F22-427E-901A-51157CC2C78D}" srcOrd="0" destOrd="0" presId="urn:microsoft.com/office/officeart/2005/8/layout/bProcess4"/>
    <dgm:cxn modelId="{B739F398-CF80-41C8-BF04-0C864B4CAB2C}" srcId="{F0DFB21A-229C-4B73-BA0A-318A34AB403C}" destId="{98A074E3-ADA5-48E9-9AD6-E19C484D07AA}" srcOrd="0" destOrd="0" parTransId="{6E1BDF8A-4279-4561-A17C-A2C14A6E5AE2}" sibTransId="{658426D0-268E-48EA-BEA3-56B19D5DABC9}"/>
    <dgm:cxn modelId="{55947B9A-606E-47E0-95F1-DF7D0E40E8D5}" type="presOf" srcId="{09DD6C10-780A-4994-907B-B1177D0B3799}" destId="{D01694C7-6D68-4291-8338-AD40484E43F0}" srcOrd="0" destOrd="0" presId="urn:microsoft.com/office/officeart/2005/8/layout/bProcess4"/>
    <dgm:cxn modelId="{1D7CE09A-7658-4CF7-9922-8E5E2E1E153A}" type="presOf" srcId="{CA1561BD-1FB2-4225-A419-ACE12803351C}" destId="{91A16BC3-FB86-4AC5-A9A1-BF7CCF7CE811}" srcOrd="0" destOrd="0" presId="urn:microsoft.com/office/officeart/2005/8/layout/bProcess4"/>
    <dgm:cxn modelId="{5635C39D-9DB2-46D1-ACD1-6CCF166EECC2}" type="presOf" srcId="{83D0919D-FA9D-45CA-A97D-624C738E1E5C}" destId="{2B222BAD-B4CC-4496-8C05-642919FB00AB}" srcOrd="0" destOrd="0" presId="urn:microsoft.com/office/officeart/2005/8/layout/bProcess4"/>
    <dgm:cxn modelId="{CBA8E5AE-5504-4CAB-8BF4-7CA180F21995}" type="presOf" srcId="{A8EFA96B-D27F-438E-9717-EBB545DBA8CB}" destId="{FDF7D924-17E4-4D34-BA89-63231CAE4B51}" srcOrd="0" destOrd="0" presId="urn:microsoft.com/office/officeart/2005/8/layout/bProcess4"/>
    <dgm:cxn modelId="{8E4E63B3-2D78-49A4-A0B8-8234DC971B9E}" type="presOf" srcId="{91EA9133-67DE-4969-A9D1-58F3A24A3FA2}" destId="{DB95D8A5-5AA7-4B72-B1DF-75F7D7EF2CAE}" srcOrd="0" destOrd="0" presId="urn:microsoft.com/office/officeart/2005/8/layout/bProcess4"/>
    <dgm:cxn modelId="{FEBEFABA-5A8E-4AE3-9827-819DCF174411}" srcId="{F0DFB21A-229C-4B73-BA0A-318A34AB403C}" destId="{CA1561BD-1FB2-4225-A419-ACE12803351C}" srcOrd="1" destOrd="0" parTransId="{4EF99A1C-CBF6-41B1-8395-F22353938AA4}" sibTransId="{61D865A8-08DF-46D7-A5E4-824EE4F7113E}"/>
    <dgm:cxn modelId="{BC93BFD0-B361-45EB-A984-CCEAEE0159E8}" srcId="{F0DFB21A-229C-4B73-BA0A-318A34AB403C}" destId="{A8EFA96B-D27F-438E-9717-EBB545DBA8CB}" srcOrd="2" destOrd="0" parTransId="{105AEEC2-3073-43D1-A42C-CE788DDFE63A}" sibTransId="{7277C537-9280-4B6C-B960-5FF01EEA2F85}"/>
    <dgm:cxn modelId="{3E7F8CD1-3E73-4FBF-9A22-03D60B623242}" type="presOf" srcId="{F0DFB21A-229C-4B73-BA0A-318A34AB403C}" destId="{8A7CF2B1-BD74-4F24-84B3-69EB304C15E7}" srcOrd="0" destOrd="0" presId="urn:microsoft.com/office/officeart/2005/8/layout/bProcess4"/>
    <dgm:cxn modelId="{9811FFDB-B808-4F5C-8440-0DFC3E58BC26}" type="presOf" srcId="{4211EA70-D6CE-4821-943A-27F67872B356}" destId="{D8A00AB2-A301-40C2-A2FD-AEBDC36B06F1}" srcOrd="0" destOrd="0" presId="urn:microsoft.com/office/officeart/2005/8/layout/bProcess4"/>
    <dgm:cxn modelId="{AC4A5CDE-85F6-4011-AD2D-E6138A4B826B}" type="presOf" srcId="{1C7A91AE-EE5F-42A2-BA26-8DB5789C2928}" destId="{51CFC35B-6F14-4147-A4BD-FBB496446553}" srcOrd="0" destOrd="0" presId="urn:microsoft.com/office/officeart/2005/8/layout/bProcess4"/>
    <dgm:cxn modelId="{9CE54805-0BB1-4592-A9A1-02222A05450E}" type="presParOf" srcId="{8A7CF2B1-BD74-4F24-84B3-69EB304C15E7}" destId="{CDAD2448-53CB-4A3C-8DC0-A4F074A6FDF1}" srcOrd="0" destOrd="0" presId="urn:microsoft.com/office/officeart/2005/8/layout/bProcess4"/>
    <dgm:cxn modelId="{2C56E8CA-233E-4D4F-89C4-B3AE8BFEFF40}" type="presParOf" srcId="{CDAD2448-53CB-4A3C-8DC0-A4F074A6FDF1}" destId="{46BD0E24-349F-4010-B99C-CA485A81BDDE}" srcOrd="0" destOrd="0" presId="urn:microsoft.com/office/officeart/2005/8/layout/bProcess4"/>
    <dgm:cxn modelId="{1BAFFFE2-2071-4D06-A64B-876B9A8E6BFF}" type="presParOf" srcId="{CDAD2448-53CB-4A3C-8DC0-A4F074A6FDF1}" destId="{C31F3AED-3249-458B-8597-A177AFECB6F2}" srcOrd="1" destOrd="0" presId="urn:microsoft.com/office/officeart/2005/8/layout/bProcess4"/>
    <dgm:cxn modelId="{9DB86AC6-FBE4-42B5-A888-AB07734FC807}" type="presParOf" srcId="{8A7CF2B1-BD74-4F24-84B3-69EB304C15E7}" destId="{2478E3CA-F3AE-4CDB-A9EA-14526397623C}" srcOrd="1" destOrd="0" presId="urn:microsoft.com/office/officeart/2005/8/layout/bProcess4"/>
    <dgm:cxn modelId="{31F44D2F-B0DA-43D3-AFA9-F81F18630D3A}" type="presParOf" srcId="{8A7CF2B1-BD74-4F24-84B3-69EB304C15E7}" destId="{551EB7D1-F8C0-49F5-85D7-839290D84433}" srcOrd="2" destOrd="0" presId="urn:microsoft.com/office/officeart/2005/8/layout/bProcess4"/>
    <dgm:cxn modelId="{3C889EFE-DB19-40C1-8FAE-3DF3D498E7E6}" type="presParOf" srcId="{551EB7D1-F8C0-49F5-85D7-839290D84433}" destId="{445B81C3-BA9B-48FB-947E-AE1CA766D9F0}" srcOrd="0" destOrd="0" presId="urn:microsoft.com/office/officeart/2005/8/layout/bProcess4"/>
    <dgm:cxn modelId="{3205E4AA-EC96-4FD0-B8A4-A7DE17FB9889}" type="presParOf" srcId="{551EB7D1-F8C0-49F5-85D7-839290D84433}" destId="{91A16BC3-FB86-4AC5-A9A1-BF7CCF7CE811}" srcOrd="1" destOrd="0" presId="urn:microsoft.com/office/officeart/2005/8/layout/bProcess4"/>
    <dgm:cxn modelId="{6BB85AB1-4D46-4C50-A94F-744B3363FB38}" type="presParOf" srcId="{8A7CF2B1-BD74-4F24-84B3-69EB304C15E7}" destId="{74F3C69A-5F22-427E-901A-51157CC2C78D}" srcOrd="3" destOrd="0" presId="urn:microsoft.com/office/officeart/2005/8/layout/bProcess4"/>
    <dgm:cxn modelId="{14566705-D2ED-480B-99BF-F746396F4107}" type="presParOf" srcId="{8A7CF2B1-BD74-4F24-84B3-69EB304C15E7}" destId="{F3EDDA9B-99C3-4EAA-90D0-8E157A791E15}" srcOrd="4" destOrd="0" presId="urn:microsoft.com/office/officeart/2005/8/layout/bProcess4"/>
    <dgm:cxn modelId="{A5F70C4A-6950-43C2-A5AE-CB83C571F37B}" type="presParOf" srcId="{F3EDDA9B-99C3-4EAA-90D0-8E157A791E15}" destId="{7AF26CF7-0DBF-4691-BB1A-AB54FED65CE1}" srcOrd="0" destOrd="0" presId="urn:microsoft.com/office/officeart/2005/8/layout/bProcess4"/>
    <dgm:cxn modelId="{66BB27C7-7E00-45FD-82F0-F54B997B42EE}" type="presParOf" srcId="{F3EDDA9B-99C3-4EAA-90D0-8E157A791E15}" destId="{FDF7D924-17E4-4D34-BA89-63231CAE4B51}" srcOrd="1" destOrd="0" presId="urn:microsoft.com/office/officeart/2005/8/layout/bProcess4"/>
    <dgm:cxn modelId="{1906B82A-5327-4835-AE8F-4B3736191127}" type="presParOf" srcId="{8A7CF2B1-BD74-4F24-84B3-69EB304C15E7}" destId="{757C6939-4282-4C87-82EC-205CF5E78422}" srcOrd="5" destOrd="0" presId="urn:microsoft.com/office/officeart/2005/8/layout/bProcess4"/>
    <dgm:cxn modelId="{ECA1649F-11DF-446C-BAFA-AA872E799473}" type="presParOf" srcId="{8A7CF2B1-BD74-4F24-84B3-69EB304C15E7}" destId="{FE9893C7-DC41-4F20-AD3D-48A9FF5330AD}" srcOrd="6" destOrd="0" presId="urn:microsoft.com/office/officeart/2005/8/layout/bProcess4"/>
    <dgm:cxn modelId="{39E43ED4-99F7-4FD3-97A7-8E369B80C1A2}" type="presParOf" srcId="{FE9893C7-DC41-4F20-AD3D-48A9FF5330AD}" destId="{6484AA94-9C9F-4BF3-B401-3E2A34EB8140}" srcOrd="0" destOrd="0" presId="urn:microsoft.com/office/officeart/2005/8/layout/bProcess4"/>
    <dgm:cxn modelId="{3D0D6E92-A33E-46AD-AF10-BD11CD2D383B}" type="presParOf" srcId="{FE9893C7-DC41-4F20-AD3D-48A9FF5330AD}" destId="{8D1DD5DE-D4CB-4712-8906-553F53B69630}" srcOrd="1" destOrd="0" presId="urn:microsoft.com/office/officeart/2005/8/layout/bProcess4"/>
    <dgm:cxn modelId="{6621D1CA-B372-44F9-A625-88F5768581FC}" type="presParOf" srcId="{8A7CF2B1-BD74-4F24-84B3-69EB304C15E7}" destId="{209826FB-54C4-4D64-BF19-641C2328CE9E}" srcOrd="7" destOrd="0" presId="urn:microsoft.com/office/officeart/2005/8/layout/bProcess4"/>
    <dgm:cxn modelId="{B265B895-8A4A-4A5E-8E8D-C2850B9131B5}" type="presParOf" srcId="{8A7CF2B1-BD74-4F24-84B3-69EB304C15E7}" destId="{28AFEC62-DC22-4BBB-9C60-572E35C06DBC}" srcOrd="8" destOrd="0" presId="urn:microsoft.com/office/officeart/2005/8/layout/bProcess4"/>
    <dgm:cxn modelId="{1941F27A-44EB-4B8E-8A65-5A1C1FCFD217}" type="presParOf" srcId="{28AFEC62-DC22-4BBB-9C60-572E35C06DBC}" destId="{FA01451A-4384-46B8-AFB0-951B0B19DFE5}" srcOrd="0" destOrd="0" presId="urn:microsoft.com/office/officeart/2005/8/layout/bProcess4"/>
    <dgm:cxn modelId="{ED1C9B8C-8A20-48FF-8B80-63FDB085F8C0}" type="presParOf" srcId="{28AFEC62-DC22-4BBB-9C60-572E35C06DBC}" destId="{FF18AD11-21EF-4EBA-B394-6352E26ADCA2}" srcOrd="1" destOrd="0" presId="urn:microsoft.com/office/officeart/2005/8/layout/bProcess4"/>
    <dgm:cxn modelId="{1B46FBDA-A77C-4785-BED3-D2A73FE8D8DE}" type="presParOf" srcId="{8A7CF2B1-BD74-4F24-84B3-69EB304C15E7}" destId="{D8A00AB2-A301-40C2-A2FD-AEBDC36B06F1}" srcOrd="9" destOrd="0" presId="urn:microsoft.com/office/officeart/2005/8/layout/bProcess4"/>
    <dgm:cxn modelId="{63E9D115-D4E5-4A2F-80B9-AE739DE6E33A}" type="presParOf" srcId="{8A7CF2B1-BD74-4F24-84B3-69EB304C15E7}" destId="{5D8A6AEC-659B-4BE6-A7F8-3A56F27CA6F7}" srcOrd="10" destOrd="0" presId="urn:microsoft.com/office/officeart/2005/8/layout/bProcess4"/>
    <dgm:cxn modelId="{0C18F588-73D8-41A5-8AB4-1DB5755CA192}" type="presParOf" srcId="{5D8A6AEC-659B-4BE6-A7F8-3A56F27CA6F7}" destId="{A55014CD-36D6-4932-B8F1-C78CE2C5DBF1}" srcOrd="0" destOrd="0" presId="urn:microsoft.com/office/officeart/2005/8/layout/bProcess4"/>
    <dgm:cxn modelId="{2A422349-7D30-4FFC-AC09-16C628907D70}" type="presParOf" srcId="{5D8A6AEC-659B-4BE6-A7F8-3A56F27CA6F7}" destId="{DB95D8A5-5AA7-4B72-B1DF-75F7D7EF2CAE}" srcOrd="1" destOrd="0" presId="urn:microsoft.com/office/officeart/2005/8/layout/bProcess4"/>
    <dgm:cxn modelId="{D218DC7F-CD84-4132-8B88-FB3C4D2649DD}" type="presParOf" srcId="{8A7CF2B1-BD74-4F24-84B3-69EB304C15E7}" destId="{2B222BAD-B4CC-4496-8C05-642919FB00AB}" srcOrd="11" destOrd="0" presId="urn:microsoft.com/office/officeart/2005/8/layout/bProcess4"/>
    <dgm:cxn modelId="{306C8A4B-0236-47BE-AC00-9A6F89173A11}" type="presParOf" srcId="{8A7CF2B1-BD74-4F24-84B3-69EB304C15E7}" destId="{159872EB-60BB-4221-9EAD-F3227401BE2A}" srcOrd="12" destOrd="0" presId="urn:microsoft.com/office/officeart/2005/8/layout/bProcess4"/>
    <dgm:cxn modelId="{28E0AA2A-4145-4CAD-BCFA-BDB46C04DC51}" type="presParOf" srcId="{159872EB-60BB-4221-9EAD-F3227401BE2A}" destId="{3CED62CB-0B19-45B3-9B8F-3D6FA3B2DEFC}" srcOrd="0" destOrd="0" presId="urn:microsoft.com/office/officeart/2005/8/layout/bProcess4"/>
    <dgm:cxn modelId="{A166A62A-9749-4750-B19C-00FD3B0E25B6}" type="presParOf" srcId="{159872EB-60BB-4221-9EAD-F3227401BE2A}" destId="{1D073D6F-13B5-48E6-B106-86555422A5C2}" srcOrd="1" destOrd="0" presId="urn:microsoft.com/office/officeart/2005/8/layout/bProcess4"/>
    <dgm:cxn modelId="{F4810569-BB91-47E5-9054-7E2B04A7EC9C}" type="presParOf" srcId="{8A7CF2B1-BD74-4F24-84B3-69EB304C15E7}" destId="{FEFECAA8-29AC-4236-94A2-3C85A2477F54}" srcOrd="13" destOrd="0" presId="urn:microsoft.com/office/officeart/2005/8/layout/bProcess4"/>
    <dgm:cxn modelId="{C53BE67B-EC13-4909-AA26-75B2240C50EE}" type="presParOf" srcId="{8A7CF2B1-BD74-4F24-84B3-69EB304C15E7}" destId="{353AE1EB-B5A6-4EBC-A3D2-8A13718794CB}" srcOrd="14" destOrd="0" presId="urn:microsoft.com/office/officeart/2005/8/layout/bProcess4"/>
    <dgm:cxn modelId="{A43AB860-2047-4E79-8AE0-52351ABEE0C1}" type="presParOf" srcId="{353AE1EB-B5A6-4EBC-A3D2-8A13718794CB}" destId="{97BD6BE2-DFB3-494B-A819-0A37923493F6}" srcOrd="0" destOrd="0" presId="urn:microsoft.com/office/officeart/2005/8/layout/bProcess4"/>
    <dgm:cxn modelId="{6C41343F-23F4-4F0B-BA50-BC38BF3E4760}" type="presParOf" srcId="{353AE1EB-B5A6-4EBC-A3D2-8A13718794CB}" destId="{1294D758-957E-47CF-A679-213D9EB7ECDC}" srcOrd="1" destOrd="0" presId="urn:microsoft.com/office/officeart/2005/8/layout/bProcess4"/>
    <dgm:cxn modelId="{9B14E96A-FA6A-4743-9BCD-DAB1562E3826}" type="presParOf" srcId="{8A7CF2B1-BD74-4F24-84B3-69EB304C15E7}" destId="{51CFC35B-6F14-4147-A4BD-FBB496446553}" srcOrd="15" destOrd="0" presId="urn:microsoft.com/office/officeart/2005/8/layout/bProcess4"/>
    <dgm:cxn modelId="{7D399F7F-0957-4141-B2CC-2368F3AC15F0}" type="presParOf" srcId="{8A7CF2B1-BD74-4F24-84B3-69EB304C15E7}" destId="{6AB1F2F0-4E33-45E6-B3CE-636CD23BC708}" srcOrd="16" destOrd="0" presId="urn:microsoft.com/office/officeart/2005/8/layout/bProcess4"/>
    <dgm:cxn modelId="{CAF8838B-18FB-49C1-90EA-30A0DEFE432C}" type="presParOf" srcId="{6AB1F2F0-4E33-45E6-B3CE-636CD23BC708}" destId="{75B635E0-1184-4CF5-9E77-09FC8E42BC45}" srcOrd="0" destOrd="0" presId="urn:microsoft.com/office/officeart/2005/8/layout/bProcess4"/>
    <dgm:cxn modelId="{4CA2187F-BF4E-4A4D-933E-AFFDCC308425}" type="presParOf" srcId="{6AB1F2F0-4E33-45E6-B3CE-636CD23BC708}" destId="{D01694C7-6D68-4291-8338-AD40484E43F0}" srcOrd="1" destOrd="0" presId="urn:microsoft.com/office/officeart/2005/8/layout/bProcess4"/>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E89E32D-8474-4A98-AC0B-31BA38569B33}">
      <dsp:nvSpPr>
        <dsp:cNvPr id="0" name=""/>
        <dsp:cNvSpPr/>
      </dsp:nvSpPr>
      <dsp:spPr>
        <a:xfrm>
          <a:off x="70870" y="377264"/>
          <a:ext cx="1689639" cy="528012"/>
        </a:xfrm>
        <a:prstGeom prst="rect">
          <a:avLst/>
        </a:prstGeom>
        <a:solidFill>
          <a:schemeClr val="accent6">
            <a:alpha val="40000"/>
            <a:tint val="40000"/>
            <a:hueOff val="0"/>
            <a:satOff val="0"/>
            <a:lumOff val="0"/>
            <a:alphaOff val="0"/>
          </a:schemeClr>
        </a:solidFill>
        <a:ln w="6350" cap="flat" cmpd="sng" algn="ctr">
          <a:solidFill>
            <a:schemeClr val="accent6">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57640" tIns="30480" rIns="30480" bIns="30480" numCol="1" spcCol="1270" anchor="ctr" anchorCtr="0">
          <a:noAutofit/>
        </a:bodyPr>
        <a:lstStyle/>
        <a:p>
          <a:pPr marL="0" lvl="0" indent="0" algn="l" defTabSz="355600">
            <a:lnSpc>
              <a:spcPct val="90000"/>
            </a:lnSpc>
            <a:spcBef>
              <a:spcPct val="0"/>
            </a:spcBef>
            <a:spcAft>
              <a:spcPct val="35000"/>
            </a:spcAft>
            <a:buNone/>
          </a:pPr>
          <a:r>
            <a:rPr lang="es-CR" sz="800" kern="1200"/>
            <a:t>Participar como Proveedor PYME del Estado</a:t>
          </a:r>
        </a:p>
      </dsp:txBody>
      <dsp:txXfrm>
        <a:off x="70870" y="377264"/>
        <a:ext cx="1689639" cy="528012"/>
      </dsp:txXfrm>
    </dsp:sp>
    <dsp:sp modelId="{0BF35936-01FB-4F2F-A831-D78DC8E784E4}">
      <dsp:nvSpPr>
        <dsp:cNvPr id="0" name=""/>
        <dsp:cNvSpPr/>
      </dsp:nvSpPr>
      <dsp:spPr>
        <a:xfrm>
          <a:off x="468" y="300996"/>
          <a:ext cx="369608" cy="554413"/>
        </a:xfrm>
        <a:prstGeom prst="rect">
          <a:avLst/>
        </a:prstGeom>
        <a:blipFill>
          <a:blip xmlns:r="http://schemas.openxmlformats.org/officeDocument/2006/relationships" r:embed="rId1">
            <a:extLst>
              <a:ext uri="{96DAC541-7B7A-43D3-8B79-37D633B846F1}">
                <asvg:svgBlip xmlns:asvg="http://schemas.microsoft.com/office/drawing/2016/SVG/main" r:embed="rId2"/>
              </a:ext>
            </a:extLst>
          </a:blip>
          <a:srcRect/>
          <a:stretch>
            <a:fillRect l="-25000" r="-25000"/>
          </a:stretch>
        </a:blipFill>
        <a:ln w="12700" cap="flat" cmpd="sng" algn="ctr">
          <a:noFill/>
          <a:prstDash val="solid"/>
          <a:miter lim="800000"/>
        </a:ln>
        <a:effectLst/>
      </dsp:spPr>
      <dsp:style>
        <a:lnRef idx="2">
          <a:scrgbClr r="0" g="0" b="0"/>
        </a:lnRef>
        <a:fillRef idx="1">
          <a:scrgbClr r="0" g="0" b="0"/>
        </a:fillRef>
        <a:effectRef idx="0">
          <a:scrgbClr r="0" g="0" b="0"/>
        </a:effectRef>
        <a:fontRef idx="minor"/>
      </dsp:style>
    </dsp:sp>
    <dsp:sp modelId="{BF710F2F-BE65-40ED-89A4-768D54589ADE}">
      <dsp:nvSpPr>
        <dsp:cNvPr id="0" name=""/>
        <dsp:cNvSpPr/>
      </dsp:nvSpPr>
      <dsp:spPr>
        <a:xfrm>
          <a:off x="1933580" y="377264"/>
          <a:ext cx="1689639" cy="528012"/>
        </a:xfrm>
        <a:prstGeom prst="rect">
          <a:avLst/>
        </a:prstGeom>
        <a:solidFill>
          <a:schemeClr val="accent6">
            <a:alpha val="40000"/>
            <a:tint val="40000"/>
            <a:hueOff val="0"/>
            <a:satOff val="0"/>
            <a:lumOff val="0"/>
            <a:alphaOff val="0"/>
          </a:schemeClr>
        </a:solidFill>
        <a:ln w="6350" cap="flat" cmpd="sng" algn="ctr">
          <a:solidFill>
            <a:schemeClr val="accent6">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57640" tIns="30480" rIns="30480" bIns="30480" numCol="1" spcCol="1270" anchor="ctr" anchorCtr="0">
          <a:noAutofit/>
        </a:bodyPr>
        <a:lstStyle/>
        <a:p>
          <a:pPr marL="0" lvl="0" indent="0" algn="l" defTabSz="355600">
            <a:lnSpc>
              <a:spcPct val="90000"/>
            </a:lnSpc>
            <a:spcBef>
              <a:spcPct val="0"/>
            </a:spcBef>
            <a:spcAft>
              <a:spcPct val="35000"/>
            </a:spcAft>
            <a:buNone/>
          </a:pPr>
          <a:r>
            <a:rPr lang="es-CR" sz="800" kern="1200"/>
            <a:t>Financiamiento, avales y garantías Fodemipyme (Banco Popular)</a:t>
          </a:r>
        </a:p>
      </dsp:txBody>
      <dsp:txXfrm>
        <a:off x="1933580" y="377264"/>
        <a:ext cx="1689639" cy="528012"/>
      </dsp:txXfrm>
    </dsp:sp>
    <dsp:sp modelId="{163BE0FD-A18D-43ED-9F7D-D124EE4D116E}">
      <dsp:nvSpPr>
        <dsp:cNvPr id="0" name=""/>
        <dsp:cNvSpPr/>
      </dsp:nvSpPr>
      <dsp:spPr>
        <a:xfrm>
          <a:off x="1863179" y="300996"/>
          <a:ext cx="369608" cy="554413"/>
        </a:xfrm>
        <a:prstGeom prst="rect">
          <a:avLst/>
        </a:prstGeom>
        <a:blipFill>
          <a:blip xmlns:r="http://schemas.openxmlformats.org/officeDocument/2006/relationships" r:embed="rId1">
            <a:extLst>
              <a:ext uri="{96DAC541-7B7A-43D3-8B79-37D633B846F1}">
                <asvg:svgBlip xmlns:asvg="http://schemas.microsoft.com/office/drawing/2016/SVG/main" r:embed="rId2"/>
              </a:ext>
            </a:extLst>
          </a:blip>
          <a:srcRect/>
          <a:stretch>
            <a:fillRect l="-25000" r="-25000"/>
          </a:stretch>
        </a:blipFill>
        <a:ln w="12700" cap="flat" cmpd="sng" algn="ctr">
          <a:noFill/>
          <a:prstDash val="solid"/>
          <a:miter lim="800000"/>
        </a:ln>
        <a:effectLst/>
      </dsp:spPr>
      <dsp:style>
        <a:lnRef idx="2">
          <a:scrgbClr r="0" g="0" b="0"/>
        </a:lnRef>
        <a:fillRef idx="1">
          <a:scrgbClr r="0" g="0" b="0"/>
        </a:fillRef>
        <a:effectRef idx="0">
          <a:scrgbClr r="0" g="0" b="0"/>
        </a:effectRef>
        <a:fontRef idx="minor"/>
      </dsp:style>
    </dsp:sp>
    <dsp:sp modelId="{4BFDA4DA-7ABD-4C06-AA3B-B8422E71F4D5}">
      <dsp:nvSpPr>
        <dsp:cNvPr id="0" name=""/>
        <dsp:cNvSpPr/>
      </dsp:nvSpPr>
      <dsp:spPr>
        <a:xfrm>
          <a:off x="3796291" y="377264"/>
          <a:ext cx="1689639" cy="528012"/>
        </a:xfrm>
        <a:prstGeom prst="rect">
          <a:avLst/>
        </a:prstGeom>
        <a:solidFill>
          <a:schemeClr val="accent6">
            <a:alpha val="40000"/>
            <a:tint val="40000"/>
            <a:hueOff val="0"/>
            <a:satOff val="0"/>
            <a:lumOff val="0"/>
            <a:alphaOff val="0"/>
          </a:schemeClr>
        </a:solidFill>
        <a:ln w="6350" cap="flat" cmpd="sng" algn="ctr">
          <a:solidFill>
            <a:schemeClr val="accent6">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57640" tIns="30480" rIns="30480" bIns="30480" numCol="1" spcCol="1270" anchor="ctr" anchorCtr="0">
          <a:noAutofit/>
        </a:bodyPr>
        <a:lstStyle/>
        <a:p>
          <a:pPr marL="0" lvl="0" indent="0" algn="l" defTabSz="355600">
            <a:lnSpc>
              <a:spcPct val="90000"/>
            </a:lnSpc>
            <a:spcBef>
              <a:spcPct val="0"/>
            </a:spcBef>
            <a:spcAft>
              <a:spcPct val="35000"/>
            </a:spcAft>
            <a:buNone/>
          </a:pPr>
          <a:r>
            <a:rPr lang="es-CR" sz="800" kern="1200"/>
            <a:t>Fondos no reembolsables para innovación Propyme (MICITT)</a:t>
          </a:r>
        </a:p>
      </dsp:txBody>
      <dsp:txXfrm>
        <a:off x="3796291" y="377264"/>
        <a:ext cx="1689639" cy="528012"/>
      </dsp:txXfrm>
    </dsp:sp>
    <dsp:sp modelId="{2F3107E0-BB9F-4740-B223-D283333C0BB0}">
      <dsp:nvSpPr>
        <dsp:cNvPr id="0" name=""/>
        <dsp:cNvSpPr/>
      </dsp:nvSpPr>
      <dsp:spPr>
        <a:xfrm>
          <a:off x="3725889" y="300996"/>
          <a:ext cx="369608" cy="554413"/>
        </a:xfrm>
        <a:prstGeom prst="rect">
          <a:avLst/>
        </a:prstGeom>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25000" r="-25000"/>
          </a:stretch>
        </a:blipFill>
        <a:ln w="12700" cap="flat" cmpd="sng" algn="ctr">
          <a:noFill/>
          <a:prstDash val="solid"/>
          <a:miter lim="800000"/>
        </a:ln>
        <a:effectLst/>
      </dsp:spPr>
      <dsp:style>
        <a:lnRef idx="2">
          <a:scrgbClr r="0" g="0" b="0"/>
        </a:lnRef>
        <a:fillRef idx="1">
          <a:scrgbClr r="0" g="0" b="0"/>
        </a:fillRef>
        <a:effectRef idx="0">
          <a:scrgbClr r="0" g="0" b="0"/>
        </a:effectRef>
        <a:fontRef idx="minor"/>
      </dsp:style>
    </dsp:sp>
    <dsp:sp modelId="{6A8E1776-97BA-4E1C-ACFA-31903E8E296A}">
      <dsp:nvSpPr>
        <dsp:cNvPr id="0" name=""/>
        <dsp:cNvSpPr/>
      </dsp:nvSpPr>
      <dsp:spPr>
        <a:xfrm>
          <a:off x="70870" y="1041973"/>
          <a:ext cx="1689639" cy="528012"/>
        </a:xfrm>
        <a:prstGeom prst="rect">
          <a:avLst/>
        </a:prstGeom>
        <a:solidFill>
          <a:schemeClr val="accent6">
            <a:alpha val="40000"/>
            <a:tint val="40000"/>
            <a:hueOff val="0"/>
            <a:satOff val="0"/>
            <a:lumOff val="0"/>
            <a:alphaOff val="0"/>
          </a:schemeClr>
        </a:solidFill>
        <a:ln w="6350" cap="flat" cmpd="sng" algn="ctr">
          <a:solidFill>
            <a:schemeClr val="accent6">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57640" tIns="30480" rIns="30480" bIns="30480" numCol="1" spcCol="1270" anchor="ctr" anchorCtr="0">
          <a:noAutofit/>
        </a:bodyPr>
        <a:lstStyle/>
        <a:p>
          <a:pPr marL="0" lvl="0" indent="0" algn="l" defTabSz="355600">
            <a:lnSpc>
              <a:spcPct val="90000"/>
            </a:lnSpc>
            <a:spcBef>
              <a:spcPct val="0"/>
            </a:spcBef>
            <a:spcAft>
              <a:spcPct val="35000"/>
            </a:spcAft>
            <a:buNone/>
          </a:pPr>
          <a:r>
            <a:rPr lang="es-CR" sz="800" kern="1200"/>
            <a:t>Servicios de Desarrollo Empresarial, charlas, capacitaciones</a:t>
          </a:r>
        </a:p>
      </dsp:txBody>
      <dsp:txXfrm>
        <a:off x="70870" y="1041973"/>
        <a:ext cx="1689639" cy="528012"/>
      </dsp:txXfrm>
    </dsp:sp>
    <dsp:sp modelId="{B03E81CE-B445-434E-AAE8-C140B1367CFE}">
      <dsp:nvSpPr>
        <dsp:cNvPr id="0" name=""/>
        <dsp:cNvSpPr/>
      </dsp:nvSpPr>
      <dsp:spPr>
        <a:xfrm>
          <a:off x="468" y="965705"/>
          <a:ext cx="369608" cy="554413"/>
        </a:xfrm>
        <a:prstGeom prst="rect">
          <a:avLst/>
        </a:prstGeom>
        <a:blipFill>
          <a:blip xmlns:r="http://schemas.openxmlformats.org/officeDocument/2006/relationships" r:embed="rId1">
            <a:extLst>
              <a:ext uri="{96DAC541-7B7A-43D3-8B79-37D633B846F1}">
                <asvg:svgBlip xmlns:asvg="http://schemas.microsoft.com/office/drawing/2016/SVG/main" r:embed="rId2"/>
              </a:ext>
            </a:extLst>
          </a:blip>
          <a:srcRect/>
          <a:stretch>
            <a:fillRect l="-25000" r="-25000"/>
          </a:stretch>
        </a:blipFill>
        <a:ln w="12700" cap="flat" cmpd="sng" algn="ctr">
          <a:noFill/>
          <a:prstDash val="solid"/>
          <a:miter lim="800000"/>
        </a:ln>
        <a:effectLst/>
      </dsp:spPr>
      <dsp:style>
        <a:lnRef idx="2">
          <a:scrgbClr r="0" g="0" b="0"/>
        </a:lnRef>
        <a:fillRef idx="1">
          <a:scrgbClr r="0" g="0" b="0"/>
        </a:fillRef>
        <a:effectRef idx="0">
          <a:scrgbClr r="0" g="0" b="0"/>
        </a:effectRef>
        <a:fontRef idx="minor"/>
      </dsp:style>
    </dsp:sp>
    <dsp:sp modelId="{FD6790F8-4169-44EC-BA55-FADB6AF6B93D}">
      <dsp:nvSpPr>
        <dsp:cNvPr id="0" name=""/>
        <dsp:cNvSpPr/>
      </dsp:nvSpPr>
      <dsp:spPr>
        <a:xfrm>
          <a:off x="1933580" y="1041973"/>
          <a:ext cx="1689639" cy="528012"/>
        </a:xfrm>
        <a:prstGeom prst="rect">
          <a:avLst/>
        </a:prstGeom>
        <a:solidFill>
          <a:schemeClr val="accent6">
            <a:alpha val="40000"/>
            <a:tint val="40000"/>
            <a:hueOff val="0"/>
            <a:satOff val="0"/>
            <a:lumOff val="0"/>
            <a:alphaOff val="0"/>
          </a:schemeClr>
        </a:solidFill>
        <a:ln w="6350" cap="flat" cmpd="sng" algn="ctr">
          <a:solidFill>
            <a:schemeClr val="accent6">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57640" tIns="30480" rIns="30480" bIns="30480" numCol="1" spcCol="1270" anchor="ctr" anchorCtr="0">
          <a:noAutofit/>
        </a:bodyPr>
        <a:lstStyle/>
        <a:p>
          <a:pPr marL="0" lvl="0" indent="0" algn="l" defTabSz="355600">
            <a:lnSpc>
              <a:spcPct val="90000"/>
            </a:lnSpc>
            <a:spcBef>
              <a:spcPct val="0"/>
            </a:spcBef>
            <a:spcAft>
              <a:spcPct val="35000"/>
            </a:spcAft>
            <a:buNone/>
          </a:pPr>
          <a:r>
            <a:rPr lang="es-CR" sz="800" kern="1200"/>
            <a:t>Ferias empresariales y encuentros de negocio</a:t>
          </a:r>
        </a:p>
      </dsp:txBody>
      <dsp:txXfrm>
        <a:off x="1933580" y="1041973"/>
        <a:ext cx="1689639" cy="528012"/>
      </dsp:txXfrm>
    </dsp:sp>
    <dsp:sp modelId="{ADFBFF37-9D52-492C-959A-04263E1EF1AB}">
      <dsp:nvSpPr>
        <dsp:cNvPr id="0" name=""/>
        <dsp:cNvSpPr/>
      </dsp:nvSpPr>
      <dsp:spPr>
        <a:xfrm>
          <a:off x="1863179" y="965705"/>
          <a:ext cx="369608" cy="554413"/>
        </a:xfrm>
        <a:prstGeom prst="rect">
          <a:avLst/>
        </a:prstGeom>
        <a:blipFill>
          <a:blip xmlns:r="http://schemas.openxmlformats.org/officeDocument/2006/relationships" r:embed="rId1">
            <a:extLst>
              <a:ext uri="{96DAC541-7B7A-43D3-8B79-37D633B846F1}">
                <asvg:svgBlip xmlns:asvg="http://schemas.microsoft.com/office/drawing/2016/SVG/main" r:embed="rId2"/>
              </a:ext>
            </a:extLst>
          </a:blip>
          <a:srcRect/>
          <a:stretch>
            <a:fillRect l="-25000" r="-25000"/>
          </a:stretch>
        </a:blipFill>
        <a:ln w="12700" cap="flat" cmpd="sng" algn="ctr">
          <a:noFill/>
          <a:prstDash val="solid"/>
          <a:miter lim="800000"/>
        </a:ln>
        <a:effectLst/>
      </dsp:spPr>
      <dsp:style>
        <a:lnRef idx="2">
          <a:scrgbClr r="0" g="0" b="0"/>
        </a:lnRef>
        <a:fillRef idx="1">
          <a:scrgbClr r="0" g="0" b="0"/>
        </a:fillRef>
        <a:effectRef idx="0">
          <a:scrgbClr r="0" g="0" b="0"/>
        </a:effectRef>
        <a:fontRef idx="minor"/>
      </dsp:style>
    </dsp:sp>
    <dsp:sp modelId="{7519264E-3454-43F5-9853-1C207CD49440}">
      <dsp:nvSpPr>
        <dsp:cNvPr id="0" name=""/>
        <dsp:cNvSpPr/>
      </dsp:nvSpPr>
      <dsp:spPr>
        <a:xfrm>
          <a:off x="3796291" y="1041973"/>
          <a:ext cx="1689639" cy="528012"/>
        </a:xfrm>
        <a:prstGeom prst="rect">
          <a:avLst/>
        </a:prstGeom>
        <a:solidFill>
          <a:schemeClr val="accent6">
            <a:alpha val="40000"/>
            <a:tint val="40000"/>
            <a:hueOff val="0"/>
            <a:satOff val="0"/>
            <a:lumOff val="0"/>
            <a:alphaOff val="0"/>
          </a:schemeClr>
        </a:solidFill>
        <a:ln w="6350" cap="flat" cmpd="sng" algn="ctr">
          <a:solidFill>
            <a:schemeClr val="accent6">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57640" tIns="30480" rIns="30480" bIns="30480" numCol="1" spcCol="1270" anchor="ctr" anchorCtr="0">
          <a:noAutofit/>
        </a:bodyPr>
        <a:lstStyle/>
        <a:p>
          <a:pPr marL="0" lvl="0" indent="0" algn="l" defTabSz="355600">
            <a:lnSpc>
              <a:spcPct val="90000"/>
            </a:lnSpc>
            <a:spcBef>
              <a:spcPct val="0"/>
            </a:spcBef>
            <a:spcAft>
              <a:spcPct val="35000"/>
            </a:spcAft>
            <a:buNone/>
          </a:pPr>
          <a:r>
            <a:rPr lang="es-CR" sz="800" kern="1200"/>
            <a:t>Sello PYME y Constancia de Condición PYME gratuitos</a:t>
          </a:r>
        </a:p>
      </dsp:txBody>
      <dsp:txXfrm>
        <a:off x="3796291" y="1041973"/>
        <a:ext cx="1689639" cy="528012"/>
      </dsp:txXfrm>
    </dsp:sp>
    <dsp:sp modelId="{FF4E3AAC-C2E0-4068-92EA-E854C77B1F5B}">
      <dsp:nvSpPr>
        <dsp:cNvPr id="0" name=""/>
        <dsp:cNvSpPr/>
      </dsp:nvSpPr>
      <dsp:spPr>
        <a:xfrm>
          <a:off x="3725889" y="965705"/>
          <a:ext cx="369608" cy="554413"/>
        </a:xfrm>
        <a:prstGeom prst="rect">
          <a:avLst/>
        </a:prstGeom>
        <a:blipFill>
          <a:blip xmlns:r="http://schemas.openxmlformats.org/officeDocument/2006/relationships" r:embed="rId1">
            <a:extLst>
              <a:ext uri="{96DAC541-7B7A-43D3-8B79-37D633B846F1}">
                <asvg:svgBlip xmlns:asvg="http://schemas.microsoft.com/office/drawing/2016/SVG/main" r:embed="rId2"/>
              </a:ext>
            </a:extLst>
          </a:blip>
          <a:srcRect/>
          <a:stretch>
            <a:fillRect l="-25000" r="-25000"/>
          </a:stretch>
        </a:blipFill>
        <a:ln w="12700" cap="flat" cmpd="sng" algn="ctr">
          <a:noFill/>
          <a:prstDash val="solid"/>
          <a:miter lim="800000"/>
        </a:ln>
        <a:effectLst/>
      </dsp:spPr>
      <dsp:style>
        <a:lnRef idx="2">
          <a:scrgbClr r="0" g="0" b="0"/>
        </a:lnRef>
        <a:fillRef idx="1">
          <a:scrgbClr r="0" g="0" b="0"/>
        </a:fillRef>
        <a:effectRef idx="0">
          <a:scrgbClr r="0" g="0" b="0"/>
        </a:effectRef>
        <a:fontRef idx="minor"/>
      </dsp:style>
    </dsp:sp>
    <dsp:sp modelId="{BF18D364-DEC7-49ED-A7F5-C23BA1DA33D8}">
      <dsp:nvSpPr>
        <dsp:cNvPr id="0" name=""/>
        <dsp:cNvSpPr/>
      </dsp:nvSpPr>
      <dsp:spPr>
        <a:xfrm>
          <a:off x="70870" y="1706682"/>
          <a:ext cx="1689639" cy="528012"/>
        </a:xfrm>
        <a:prstGeom prst="rect">
          <a:avLst/>
        </a:prstGeom>
        <a:solidFill>
          <a:schemeClr val="accent6">
            <a:alpha val="40000"/>
            <a:tint val="40000"/>
            <a:hueOff val="0"/>
            <a:satOff val="0"/>
            <a:lumOff val="0"/>
            <a:alphaOff val="0"/>
          </a:schemeClr>
        </a:solidFill>
        <a:ln w="6350" cap="flat" cmpd="sng" algn="ctr">
          <a:solidFill>
            <a:schemeClr val="accent6">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57640" tIns="30480" rIns="30480" bIns="30480" numCol="1" spcCol="1270" anchor="ctr" anchorCtr="0">
          <a:noAutofit/>
        </a:bodyPr>
        <a:lstStyle/>
        <a:p>
          <a:pPr marL="0" lvl="0" indent="0" algn="l" defTabSz="355600">
            <a:lnSpc>
              <a:spcPct val="90000"/>
            </a:lnSpc>
            <a:spcBef>
              <a:spcPct val="0"/>
            </a:spcBef>
            <a:spcAft>
              <a:spcPct val="35000"/>
            </a:spcAft>
            <a:buNone/>
          </a:pPr>
          <a:r>
            <a:rPr lang="es-CR" sz="800" kern="1200"/>
            <a:t>Recursos financieros del Sistema de Banca para Desarrollo</a:t>
          </a:r>
        </a:p>
      </dsp:txBody>
      <dsp:txXfrm>
        <a:off x="70870" y="1706682"/>
        <a:ext cx="1689639" cy="528012"/>
      </dsp:txXfrm>
    </dsp:sp>
    <dsp:sp modelId="{A2EBFEE8-ED2F-402F-B9E8-287AFFF0184B}">
      <dsp:nvSpPr>
        <dsp:cNvPr id="0" name=""/>
        <dsp:cNvSpPr/>
      </dsp:nvSpPr>
      <dsp:spPr>
        <a:xfrm>
          <a:off x="468" y="1630414"/>
          <a:ext cx="369608" cy="554413"/>
        </a:xfrm>
        <a:prstGeom prst="rect">
          <a:avLst/>
        </a:prstGeom>
        <a:blipFill>
          <a:blip xmlns:r="http://schemas.openxmlformats.org/officeDocument/2006/relationships" r:embed="rId1">
            <a:extLst>
              <a:ext uri="{96DAC541-7B7A-43D3-8B79-37D633B846F1}">
                <asvg:svgBlip xmlns:asvg="http://schemas.microsoft.com/office/drawing/2016/SVG/main" r:embed="rId2"/>
              </a:ext>
            </a:extLst>
          </a:blip>
          <a:srcRect/>
          <a:stretch>
            <a:fillRect l="-25000" r="-25000"/>
          </a:stretch>
        </a:blipFill>
        <a:ln w="12700" cap="flat" cmpd="sng" algn="ctr">
          <a:noFill/>
          <a:prstDash val="solid"/>
          <a:miter lim="800000"/>
        </a:ln>
        <a:effectLst/>
      </dsp:spPr>
      <dsp:style>
        <a:lnRef idx="2">
          <a:scrgbClr r="0" g="0" b="0"/>
        </a:lnRef>
        <a:fillRef idx="1">
          <a:scrgbClr r="0" g="0" b="0"/>
        </a:fillRef>
        <a:effectRef idx="0">
          <a:scrgbClr r="0" g="0" b="0"/>
        </a:effectRef>
        <a:fontRef idx="minor"/>
      </dsp:style>
    </dsp:sp>
    <dsp:sp modelId="{88645A7F-8EE6-4F87-B6E2-B52696189553}">
      <dsp:nvSpPr>
        <dsp:cNvPr id="0" name=""/>
        <dsp:cNvSpPr/>
      </dsp:nvSpPr>
      <dsp:spPr>
        <a:xfrm>
          <a:off x="1933580" y="1706682"/>
          <a:ext cx="1689639" cy="528012"/>
        </a:xfrm>
        <a:prstGeom prst="rect">
          <a:avLst/>
        </a:prstGeom>
        <a:solidFill>
          <a:schemeClr val="accent6">
            <a:alpha val="40000"/>
            <a:tint val="40000"/>
            <a:hueOff val="0"/>
            <a:satOff val="0"/>
            <a:lumOff val="0"/>
            <a:alphaOff val="0"/>
          </a:schemeClr>
        </a:solidFill>
        <a:ln w="6350" cap="flat" cmpd="sng" algn="ctr">
          <a:solidFill>
            <a:schemeClr val="accent6">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57640" tIns="30480" rIns="30480" bIns="30480" numCol="1" spcCol="1270" anchor="ctr" anchorCtr="0">
          <a:noAutofit/>
        </a:bodyPr>
        <a:lstStyle/>
        <a:p>
          <a:pPr marL="0" lvl="0" indent="0" algn="l" defTabSz="355600">
            <a:lnSpc>
              <a:spcPct val="90000"/>
            </a:lnSpc>
            <a:spcBef>
              <a:spcPct val="0"/>
            </a:spcBef>
            <a:spcAft>
              <a:spcPct val="35000"/>
            </a:spcAft>
            <a:buNone/>
          </a:pPr>
          <a:r>
            <a:rPr lang="es-CR" sz="800" kern="1200"/>
            <a:t>Exoneración impuesto personas jurídicas Micro y Pequeñas empresas</a:t>
          </a:r>
        </a:p>
      </dsp:txBody>
      <dsp:txXfrm>
        <a:off x="1933580" y="1706682"/>
        <a:ext cx="1689639" cy="528012"/>
      </dsp:txXfrm>
    </dsp:sp>
    <dsp:sp modelId="{2490F111-4900-41B2-A170-94E29978E1EF}">
      <dsp:nvSpPr>
        <dsp:cNvPr id="0" name=""/>
        <dsp:cNvSpPr/>
      </dsp:nvSpPr>
      <dsp:spPr>
        <a:xfrm>
          <a:off x="1863179" y="1630414"/>
          <a:ext cx="369608" cy="554413"/>
        </a:xfrm>
        <a:prstGeom prst="rect">
          <a:avLst/>
        </a:prstGeom>
        <a:blipFill>
          <a:blip xmlns:r="http://schemas.openxmlformats.org/officeDocument/2006/relationships" r:embed="rId1">
            <a:extLst>
              <a:ext uri="{96DAC541-7B7A-43D3-8B79-37D633B846F1}">
                <asvg:svgBlip xmlns:asvg="http://schemas.microsoft.com/office/drawing/2016/SVG/main" r:embed="rId2"/>
              </a:ext>
            </a:extLst>
          </a:blip>
          <a:srcRect/>
          <a:stretch>
            <a:fillRect l="-25000" r="-25000"/>
          </a:stretch>
        </a:blipFill>
        <a:ln w="12700" cap="flat" cmpd="sng" algn="ctr">
          <a:noFill/>
          <a:prstDash val="solid"/>
          <a:miter lim="800000"/>
        </a:ln>
        <a:effectLst/>
      </dsp:spPr>
      <dsp:style>
        <a:lnRef idx="2">
          <a:scrgbClr r="0" g="0" b="0"/>
        </a:lnRef>
        <a:fillRef idx="1">
          <a:scrgbClr r="0" g="0" b="0"/>
        </a:fillRef>
        <a:effectRef idx="0">
          <a:scrgbClr r="0" g="0" b="0"/>
        </a:effectRef>
        <a:fontRef idx="minor"/>
      </dsp:style>
    </dsp:sp>
    <dsp:sp modelId="{F06E7008-95F3-4D90-95AD-C860F7C4C9B9}">
      <dsp:nvSpPr>
        <dsp:cNvPr id="0" name=""/>
        <dsp:cNvSpPr/>
      </dsp:nvSpPr>
      <dsp:spPr>
        <a:xfrm>
          <a:off x="3796291" y="1706682"/>
          <a:ext cx="1689639" cy="528012"/>
        </a:xfrm>
        <a:prstGeom prst="rect">
          <a:avLst/>
        </a:prstGeom>
        <a:solidFill>
          <a:schemeClr val="accent6">
            <a:alpha val="40000"/>
            <a:tint val="40000"/>
            <a:hueOff val="0"/>
            <a:satOff val="0"/>
            <a:lumOff val="0"/>
            <a:alphaOff val="0"/>
          </a:schemeClr>
        </a:solidFill>
        <a:ln w="6350" cap="flat" cmpd="sng" algn="ctr">
          <a:solidFill>
            <a:schemeClr val="accent6">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57640" tIns="30480" rIns="30480" bIns="30480" numCol="1" spcCol="1270" anchor="ctr" anchorCtr="0">
          <a:noAutofit/>
        </a:bodyPr>
        <a:lstStyle/>
        <a:p>
          <a:pPr marL="0" lvl="0" indent="0" algn="l" defTabSz="355600">
            <a:lnSpc>
              <a:spcPct val="90000"/>
            </a:lnSpc>
            <a:spcBef>
              <a:spcPct val="0"/>
            </a:spcBef>
            <a:spcAft>
              <a:spcPct val="35000"/>
            </a:spcAft>
            <a:buNone/>
          </a:pPr>
          <a:r>
            <a:rPr lang="es-CR" sz="800" kern="1200"/>
            <a:t>Exoneración IVA alquiler micro y pequeñas, monto menor a ¢669,000</a:t>
          </a:r>
        </a:p>
      </dsp:txBody>
      <dsp:txXfrm>
        <a:off x="3796291" y="1706682"/>
        <a:ext cx="1689639" cy="528012"/>
      </dsp:txXfrm>
    </dsp:sp>
    <dsp:sp modelId="{C63668B9-B233-4520-B9F2-0591AAA8B805}">
      <dsp:nvSpPr>
        <dsp:cNvPr id="0" name=""/>
        <dsp:cNvSpPr/>
      </dsp:nvSpPr>
      <dsp:spPr>
        <a:xfrm>
          <a:off x="3725889" y="1630414"/>
          <a:ext cx="369608" cy="554413"/>
        </a:xfrm>
        <a:prstGeom prst="rect">
          <a:avLst/>
        </a:prstGeom>
        <a:blipFill>
          <a:blip xmlns:r="http://schemas.openxmlformats.org/officeDocument/2006/relationships" r:embed="rId1">
            <a:extLst>
              <a:ext uri="{96DAC541-7B7A-43D3-8B79-37D633B846F1}">
                <asvg:svgBlip xmlns:asvg="http://schemas.microsoft.com/office/drawing/2016/SVG/main" r:embed="rId2"/>
              </a:ext>
            </a:extLst>
          </a:blip>
          <a:srcRect/>
          <a:stretch>
            <a:fillRect l="-25000" r="-25000"/>
          </a:stretch>
        </a:blipFill>
        <a:ln w="12700" cap="flat" cmpd="sng" algn="ctr">
          <a:noFill/>
          <a:prstDash val="solid"/>
          <a:miter lim="800000"/>
        </a:ln>
        <a:effectLst/>
      </dsp:spPr>
      <dsp:style>
        <a:lnRef idx="2">
          <a:scrgbClr r="0" g="0" b="0"/>
        </a:lnRef>
        <a:fillRef idx="1">
          <a:scrgbClr r="0" g="0" b="0"/>
        </a:fillRef>
        <a:effectRef idx="0">
          <a:scrgbClr r="0" g="0" b="0"/>
        </a:effectRef>
        <a:fontRef idx="minor"/>
      </dsp:style>
    </dsp:sp>
    <dsp:sp modelId="{46E56D8F-C161-4019-AC4D-3004CB76D365}">
      <dsp:nvSpPr>
        <dsp:cNvPr id="0" name=""/>
        <dsp:cNvSpPr/>
      </dsp:nvSpPr>
      <dsp:spPr>
        <a:xfrm>
          <a:off x="70870" y="2371391"/>
          <a:ext cx="1689639" cy="528012"/>
        </a:xfrm>
        <a:prstGeom prst="rect">
          <a:avLst/>
        </a:prstGeom>
        <a:solidFill>
          <a:schemeClr val="accent6">
            <a:alpha val="40000"/>
            <a:tint val="40000"/>
            <a:hueOff val="0"/>
            <a:satOff val="0"/>
            <a:lumOff val="0"/>
            <a:alphaOff val="0"/>
          </a:schemeClr>
        </a:solidFill>
        <a:ln w="6350" cap="flat" cmpd="sng" algn="ctr">
          <a:solidFill>
            <a:schemeClr val="accent6">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57640" tIns="30480" rIns="30480" bIns="30480" numCol="1" spcCol="1270" anchor="ctr" anchorCtr="0">
          <a:noAutofit/>
        </a:bodyPr>
        <a:lstStyle/>
        <a:p>
          <a:pPr marL="0" lvl="0" indent="0" algn="l" defTabSz="355600">
            <a:lnSpc>
              <a:spcPct val="90000"/>
            </a:lnSpc>
            <a:spcBef>
              <a:spcPct val="0"/>
            </a:spcBef>
            <a:spcAft>
              <a:spcPct val="35000"/>
            </a:spcAft>
            <a:buNone/>
          </a:pPr>
          <a:r>
            <a:rPr lang="es-CR" sz="800" kern="1200"/>
            <a:t>Pago escalonado nuevas microempresas: Cargas Sociales CCSS – Impuesto Renta Ministerio de Hacienda</a:t>
          </a:r>
        </a:p>
      </dsp:txBody>
      <dsp:txXfrm>
        <a:off x="70870" y="2371391"/>
        <a:ext cx="1689639" cy="528012"/>
      </dsp:txXfrm>
    </dsp:sp>
    <dsp:sp modelId="{F2B69B38-21E3-4D29-A38D-25B56EB26CF3}">
      <dsp:nvSpPr>
        <dsp:cNvPr id="0" name=""/>
        <dsp:cNvSpPr/>
      </dsp:nvSpPr>
      <dsp:spPr>
        <a:xfrm>
          <a:off x="468" y="2295123"/>
          <a:ext cx="369608" cy="554413"/>
        </a:xfrm>
        <a:prstGeom prst="rect">
          <a:avLst/>
        </a:prstGeom>
        <a:blipFill>
          <a:blip xmlns:r="http://schemas.openxmlformats.org/officeDocument/2006/relationships" r:embed="rId1">
            <a:extLst>
              <a:ext uri="{96DAC541-7B7A-43D3-8B79-37D633B846F1}">
                <asvg:svgBlip xmlns:asvg="http://schemas.microsoft.com/office/drawing/2016/SVG/main" r:embed="rId2"/>
              </a:ext>
            </a:extLst>
          </a:blip>
          <a:srcRect/>
          <a:stretch>
            <a:fillRect l="-25000" r="-25000"/>
          </a:stretch>
        </a:blipFill>
        <a:ln w="12700" cap="flat" cmpd="sng" algn="ctr">
          <a:noFill/>
          <a:prstDash val="solid"/>
          <a:miter lim="800000"/>
        </a:ln>
        <a:effectLst/>
      </dsp:spPr>
      <dsp:style>
        <a:lnRef idx="2">
          <a:scrgbClr r="0" g="0" b="0"/>
        </a:lnRef>
        <a:fillRef idx="1">
          <a:scrgbClr r="0" g="0" b="0"/>
        </a:fillRef>
        <a:effectRef idx="0">
          <a:scrgbClr r="0" g="0" b="0"/>
        </a:effectRef>
        <a:fontRef idx="minor"/>
      </dsp:style>
    </dsp:sp>
    <dsp:sp modelId="{0B2ED4D2-E0D5-4D01-81FF-45AB77DEE5C9}">
      <dsp:nvSpPr>
        <dsp:cNvPr id="0" name=""/>
        <dsp:cNvSpPr/>
      </dsp:nvSpPr>
      <dsp:spPr>
        <a:xfrm>
          <a:off x="1933580" y="2371391"/>
          <a:ext cx="1689639" cy="528012"/>
        </a:xfrm>
        <a:prstGeom prst="rect">
          <a:avLst/>
        </a:prstGeom>
        <a:solidFill>
          <a:schemeClr val="accent6">
            <a:alpha val="40000"/>
            <a:tint val="40000"/>
            <a:hueOff val="0"/>
            <a:satOff val="0"/>
            <a:lumOff val="0"/>
            <a:alphaOff val="0"/>
          </a:schemeClr>
        </a:solidFill>
        <a:ln w="6350" cap="flat" cmpd="sng" algn="ctr">
          <a:solidFill>
            <a:schemeClr val="accent6">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57640" tIns="30480" rIns="30480" bIns="30480" numCol="1" spcCol="1270" anchor="ctr" anchorCtr="0">
          <a:noAutofit/>
        </a:bodyPr>
        <a:lstStyle/>
        <a:p>
          <a:pPr marL="0" lvl="0" indent="0" algn="l" defTabSz="355600">
            <a:lnSpc>
              <a:spcPct val="90000"/>
            </a:lnSpc>
            <a:spcBef>
              <a:spcPct val="0"/>
            </a:spcBef>
            <a:spcAft>
              <a:spcPct val="35000"/>
            </a:spcAft>
            <a:buNone/>
          </a:pPr>
          <a:r>
            <a:rPr lang="es-CR" sz="800" kern="1200"/>
            <a:t>Permiso sanitario de funcionamiento Microempresas $20</a:t>
          </a:r>
        </a:p>
      </dsp:txBody>
      <dsp:txXfrm>
        <a:off x="1933580" y="2371391"/>
        <a:ext cx="1689639" cy="528012"/>
      </dsp:txXfrm>
    </dsp:sp>
    <dsp:sp modelId="{F2005425-1665-49C9-8824-D77D859AEB33}">
      <dsp:nvSpPr>
        <dsp:cNvPr id="0" name=""/>
        <dsp:cNvSpPr/>
      </dsp:nvSpPr>
      <dsp:spPr>
        <a:xfrm>
          <a:off x="1863179" y="2295123"/>
          <a:ext cx="369608" cy="554413"/>
        </a:xfrm>
        <a:prstGeom prst="rect">
          <a:avLst/>
        </a:prstGeom>
        <a:blipFill>
          <a:blip xmlns:r="http://schemas.openxmlformats.org/officeDocument/2006/relationships" r:embed="rId1">
            <a:extLst>
              <a:ext uri="{96DAC541-7B7A-43D3-8B79-37D633B846F1}">
                <asvg:svgBlip xmlns:asvg="http://schemas.microsoft.com/office/drawing/2016/SVG/main" r:embed="rId2"/>
              </a:ext>
            </a:extLst>
          </a:blip>
          <a:srcRect/>
          <a:stretch>
            <a:fillRect l="-25000" r="-25000"/>
          </a:stretch>
        </a:blipFill>
        <a:ln w="12700" cap="flat" cmpd="sng" algn="ctr">
          <a:noFill/>
          <a:prstDash val="solid"/>
          <a:miter lim="800000"/>
        </a:ln>
        <a:effectLst/>
      </dsp:spPr>
      <dsp:style>
        <a:lnRef idx="2">
          <a:scrgbClr r="0" g="0" b="0"/>
        </a:lnRef>
        <a:fillRef idx="1">
          <a:scrgbClr r="0" g="0" b="0"/>
        </a:fillRef>
        <a:effectRef idx="0">
          <a:scrgbClr r="0" g="0" b="0"/>
        </a:effectRef>
        <a:fontRef idx="minor"/>
      </dsp:style>
    </dsp:sp>
    <dsp:sp modelId="{8F04BF01-16EC-4B37-9C31-18B678E16EBB}">
      <dsp:nvSpPr>
        <dsp:cNvPr id="0" name=""/>
        <dsp:cNvSpPr/>
      </dsp:nvSpPr>
      <dsp:spPr>
        <a:xfrm>
          <a:off x="3796291" y="2371391"/>
          <a:ext cx="1689639" cy="528012"/>
        </a:xfrm>
        <a:prstGeom prst="rect">
          <a:avLst/>
        </a:prstGeom>
        <a:solidFill>
          <a:schemeClr val="accent6">
            <a:alpha val="40000"/>
            <a:tint val="40000"/>
            <a:hueOff val="0"/>
            <a:satOff val="0"/>
            <a:lumOff val="0"/>
            <a:alphaOff val="0"/>
          </a:schemeClr>
        </a:solidFill>
        <a:ln w="6350" cap="flat" cmpd="sng" algn="ctr">
          <a:solidFill>
            <a:schemeClr val="accent6">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57640" tIns="30480" rIns="30480" bIns="30480" numCol="1" spcCol="1270" anchor="ctr" anchorCtr="0">
          <a:noAutofit/>
        </a:bodyPr>
        <a:lstStyle/>
        <a:p>
          <a:pPr marL="0" lvl="0" indent="0" algn="l" defTabSz="355600">
            <a:lnSpc>
              <a:spcPct val="90000"/>
            </a:lnSpc>
            <a:spcBef>
              <a:spcPct val="0"/>
            </a:spcBef>
            <a:spcAft>
              <a:spcPct val="35000"/>
            </a:spcAft>
            <a:buNone/>
          </a:pPr>
          <a:r>
            <a:rPr lang="es-CR" sz="800" kern="1200"/>
            <a:t>Tarifa diferenciada en registro sanitario (20%) para Microempresas</a:t>
          </a:r>
        </a:p>
      </dsp:txBody>
      <dsp:txXfrm>
        <a:off x="3796291" y="2371391"/>
        <a:ext cx="1689639" cy="528012"/>
      </dsp:txXfrm>
    </dsp:sp>
    <dsp:sp modelId="{1A39AB5F-9B86-4C73-A350-20B2DC181D33}">
      <dsp:nvSpPr>
        <dsp:cNvPr id="0" name=""/>
        <dsp:cNvSpPr/>
      </dsp:nvSpPr>
      <dsp:spPr>
        <a:xfrm>
          <a:off x="3725889" y="2295123"/>
          <a:ext cx="369608" cy="554413"/>
        </a:xfrm>
        <a:prstGeom prst="rect">
          <a:avLst/>
        </a:prstGeom>
        <a:blipFill>
          <a:blip xmlns:r="http://schemas.openxmlformats.org/officeDocument/2006/relationships" r:embed="rId1">
            <a:extLst>
              <a:ext uri="{96DAC541-7B7A-43D3-8B79-37D633B846F1}">
                <asvg:svgBlip xmlns:asvg="http://schemas.microsoft.com/office/drawing/2016/SVG/main" r:embed="rId2"/>
              </a:ext>
            </a:extLst>
          </a:blip>
          <a:srcRect/>
          <a:stretch>
            <a:fillRect l="-25000" r="-25000"/>
          </a:stretch>
        </a:blipFill>
        <a:ln w="12700" cap="flat" cmpd="sng" algn="ctr">
          <a:no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36C3D22-88F8-46AE-BC25-4AB1E10548F8}">
      <dsp:nvSpPr>
        <dsp:cNvPr id="0" name=""/>
        <dsp:cNvSpPr/>
      </dsp:nvSpPr>
      <dsp:spPr>
        <a:xfrm rot="16200000">
          <a:off x="-1009031" y="1665649"/>
          <a:ext cx="2496312" cy="40905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360768" bIns="0" numCol="1" spcCol="1270" anchor="t" anchorCtr="0">
          <a:noAutofit/>
        </a:bodyPr>
        <a:lstStyle/>
        <a:p>
          <a:pPr marL="0" lvl="0" indent="0" algn="r" defTabSz="933450">
            <a:lnSpc>
              <a:spcPct val="90000"/>
            </a:lnSpc>
            <a:spcBef>
              <a:spcPct val="0"/>
            </a:spcBef>
            <a:spcAft>
              <a:spcPct val="35000"/>
            </a:spcAft>
            <a:buNone/>
          </a:pPr>
          <a:r>
            <a:rPr lang="es-CR" sz="2100" kern="1200"/>
            <a:t>Bioeconomía</a:t>
          </a:r>
        </a:p>
      </dsp:txBody>
      <dsp:txXfrm>
        <a:off x="-1009031" y="1665649"/>
        <a:ext cx="2496312" cy="409059"/>
      </dsp:txXfrm>
    </dsp:sp>
    <dsp:sp modelId="{8BEB32A8-ED5C-4145-8FFB-E504CD56CB55}">
      <dsp:nvSpPr>
        <dsp:cNvPr id="0" name=""/>
        <dsp:cNvSpPr/>
      </dsp:nvSpPr>
      <dsp:spPr>
        <a:xfrm>
          <a:off x="443654" y="622023"/>
          <a:ext cx="2037548" cy="2496312"/>
        </a:xfrm>
        <a:prstGeom prst="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360768" rIns="92456" bIns="92456" numCol="1" spcCol="1270" anchor="t" anchorCtr="0">
          <a:noAutofit/>
        </a:bodyPr>
        <a:lstStyle/>
        <a:p>
          <a:pPr marL="57150" lvl="1" indent="-57150" algn="l" defTabSz="444500">
            <a:lnSpc>
              <a:spcPct val="90000"/>
            </a:lnSpc>
            <a:spcBef>
              <a:spcPct val="0"/>
            </a:spcBef>
            <a:spcAft>
              <a:spcPct val="15000"/>
            </a:spcAft>
            <a:buChar char="•"/>
          </a:pPr>
          <a:r>
            <a:rPr lang="es-CR" sz="1000" kern="1200"/>
            <a:t>Conservación de biodiversidad</a:t>
          </a:r>
        </a:p>
        <a:p>
          <a:pPr marL="57150" lvl="1" indent="-57150" algn="l" defTabSz="444500">
            <a:lnSpc>
              <a:spcPct val="90000"/>
            </a:lnSpc>
            <a:spcBef>
              <a:spcPct val="0"/>
            </a:spcBef>
            <a:spcAft>
              <a:spcPct val="15000"/>
            </a:spcAft>
            <a:buChar char="•"/>
          </a:pPr>
          <a:r>
            <a:rPr lang="es-CR" sz="1000" kern="1200"/>
            <a:t>Mitigación y adaptación al cambio climático</a:t>
          </a:r>
        </a:p>
        <a:p>
          <a:pPr marL="57150" lvl="1" indent="-57150" algn="l" defTabSz="444500">
            <a:lnSpc>
              <a:spcPct val="90000"/>
            </a:lnSpc>
            <a:spcBef>
              <a:spcPct val="0"/>
            </a:spcBef>
            <a:spcAft>
              <a:spcPct val="15000"/>
            </a:spcAft>
            <a:buChar char="•"/>
          </a:pPr>
          <a:r>
            <a:rPr lang="es-CR" sz="1000" kern="1200"/>
            <a:t>Mantener y mejorar la calidad y cantidad de agua</a:t>
          </a:r>
        </a:p>
        <a:p>
          <a:pPr marL="57150" lvl="1" indent="-57150" algn="l" defTabSz="444500">
            <a:lnSpc>
              <a:spcPct val="90000"/>
            </a:lnSpc>
            <a:spcBef>
              <a:spcPct val="0"/>
            </a:spcBef>
            <a:spcAft>
              <a:spcPct val="15000"/>
            </a:spcAft>
            <a:buChar char="•"/>
          </a:pPr>
          <a:r>
            <a:rPr lang="es-CR" sz="1000" kern="1200"/>
            <a:t>Detiene o invierte la degradación de la tierra, el suelo y el bosque</a:t>
          </a:r>
        </a:p>
        <a:p>
          <a:pPr marL="57150" lvl="1" indent="-57150" algn="l" defTabSz="444500">
            <a:lnSpc>
              <a:spcPct val="90000"/>
            </a:lnSpc>
            <a:spcBef>
              <a:spcPct val="0"/>
            </a:spcBef>
            <a:spcAft>
              <a:spcPct val="15000"/>
            </a:spcAft>
            <a:buChar char="•"/>
          </a:pPr>
          <a:r>
            <a:rPr lang="es-CR" sz="1000" kern="1200"/>
            <a:t>Fomenta el desarrollo económico</a:t>
          </a:r>
        </a:p>
        <a:p>
          <a:pPr marL="57150" lvl="1" indent="-57150" algn="l" defTabSz="444500">
            <a:lnSpc>
              <a:spcPct val="90000"/>
            </a:lnSpc>
            <a:spcBef>
              <a:spcPct val="0"/>
            </a:spcBef>
            <a:spcAft>
              <a:spcPct val="15000"/>
            </a:spcAft>
            <a:buChar char="•"/>
          </a:pPr>
          <a:r>
            <a:rPr lang="es-CR" sz="1000" kern="1200"/>
            <a:t>Mejora la resiliencia de la economía rural y urbana</a:t>
          </a:r>
        </a:p>
        <a:p>
          <a:pPr marL="57150" lvl="1" indent="-57150" algn="l" defTabSz="444500">
            <a:lnSpc>
              <a:spcPct val="90000"/>
            </a:lnSpc>
            <a:spcBef>
              <a:spcPct val="0"/>
            </a:spcBef>
            <a:spcAft>
              <a:spcPct val="15000"/>
            </a:spcAft>
            <a:buChar char="•"/>
          </a:pPr>
          <a:r>
            <a:rPr lang="es-CR" sz="1000" kern="1200"/>
            <a:t>Eficiencia en el uso de los recursos</a:t>
          </a:r>
        </a:p>
        <a:p>
          <a:pPr marL="57150" lvl="1" indent="-57150" algn="l" defTabSz="444500">
            <a:lnSpc>
              <a:spcPct val="90000"/>
            </a:lnSpc>
            <a:spcBef>
              <a:spcPct val="0"/>
            </a:spcBef>
            <a:spcAft>
              <a:spcPct val="15000"/>
            </a:spcAft>
            <a:buChar char="•"/>
          </a:pPr>
          <a:r>
            <a:rPr lang="es-CR" sz="1000" kern="1200"/>
            <a:t>Prevención de residuos</a:t>
          </a:r>
        </a:p>
        <a:p>
          <a:pPr marL="57150" lvl="1" indent="-57150" algn="l" defTabSz="444500">
            <a:lnSpc>
              <a:spcPct val="90000"/>
            </a:lnSpc>
            <a:spcBef>
              <a:spcPct val="0"/>
            </a:spcBef>
            <a:spcAft>
              <a:spcPct val="15000"/>
            </a:spcAft>
            <a:buChar char="•"/>
          </a:pPr>
          <a:r>
            <a:rPr lang="es-CR" sz="1000" kern="1200"/>
            <a:t>Reutilización</a:t>
          </a:r>
        </a:p>
      </dsp:txBody>
      <dsp:txXfrm>
        <a:off x="443654" y="622023"/>
        <a:ext cx="2037548" cy="2496312"/>
      </dsp:txXfrm>
    </dsp:sp>
    <dsp:sp modelId="{132D74F2-AC9F-4D9E-B49E-C827FD2E6417}">
      <dsp:nvSpPr>
        <dsp:cNvPr id="0" name=""/>
        <dsp:cNvSpPr/>
      </dsp:nvSpPr>
      <dsp:spPr>
        <a:xfrm>
          <a:off x="34594" y="82064"/>
          <a:ext cx="818118" cy="818118"/>
        </a:xfrm>
        <a:prstGeom prst="rect">
          <a:avLst/>
        </a:prstGeom>
        <a:blipFill>
          <a:blip xmlns:r="http://schemas.openxmlformats.org/officeDocument/2006/relationships" r:embed="rId1">
            <a:extLst>
              <a:ext uri="{96DAC541-7B7A-43D3-8B79-37D633B846F1}">
                <asvg:svgBlip xmlns:asvg="http://schemas.microsoft.com/office/drawing/2016/SVG/main" r:embed="rId2"/>
              </a:ext>
            </a:extLst>
          </a:blip>
          <a:srcRect/>
          <a:stretch>
            <a:fillRect/>
          </a:stretch>
        </a:blipFill>
        <a:ln w="12700" cap="flat" cmpd="sng" algn="ctr">
          <a:noFill/>
          <a:prstDash val="solid"/>
          <a:miter lim="800000"/>
        </a:ln>
        <a:effectLst/>
      </dsp:spPr>
      <dsp:style>
        <a:lnRef idx="2">
          <a:scrgbClr r="0" g="0" b="0"/>
        </a:lnRef>
        <a:fillRef idx="1">
          <a:scrgbClr r="0" g="0" b="0"/>
        </a:fillRef>
        <a:effectRef idx="0">
          <a:scrgbClr r="0" g="0" b="0"/>
        </a:effectRef>
        <a:fontRef idx="minor"/>
      </dsp:style>
    </dsp:sp>
    <dsp:sp modelId="{E03984C2-62BA-472F-8E81-7E2893C02F50}">
      <dsp:nvSpPr>
        <dsp:cNvPr id="0" name=""/>
        <dsp:cNvSpPr/>
      </dsp:nvSpPr>
      <dsp:spPr>
        <a:xfrm rot="16200000">
          <a:off x="1961570" y="1665649"/>
          <a:ext cx="2496312" cy="40905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360768" bIns="0" numCol="1" spcCol="1270" anchor="t" anchorCtr="0">
          <a:noAutofit/>
        </a:bodyPr>
        <a:lstStyle/>
        <a:p>
          <a:pPr marL="0" lvl="0" indent="0" algn="r" defTabSz="933450">
            <a:lnSpc>
              <a:spcPct val="90000"/>
            </a:lnSpc>
            <a:spcBef>
              <a:spcPct val="0"/>
            </a:spcBef>
            <a:spcAft>
              <a:spcPct val="35000"/>
            </a:spcAft>
            <a:buNone/>
          </a:pPr>
          <a:r>
            <a:rPr lang="es-CR" sz="2100" kern="1200"/>
            <a:t>Economía Circular</a:t>
          </a:r>
        </a:p>
      </dsp:txBody>
      <dsp:txXfrm>
        <a:off x="1961570" y="1665649"/>
        <a:ext cx="2496312" cy="409059"/>
      </dsp:txXfrm>
    </dsp:sp>
    <dsp:sp modelId="{32ECD0C9-CDF9-41E3-A150-45DC01BD3F68}">
      <dsp:nvSpPr>
        <dsp:cNvPr id="0" name=""/>
        <dsp:cNvSpPr/>
      </dsp:nvSpPr>
      <dsp:spPr>
        <a:xfrm>
          <a:off x="3414256" y="622023"/>
          <a:ext cx="2037548" cy="2496312"/>
        </a:xfrm>
        <a:prstGeom prst="rect">
          <a:avLst/>
        </a:prstGeom>
        <a:solidFill>
          <a:schemeClr val="accent5">
            <a:hueOff val="-6758543"/>
            <a:satOff val="-17419"/>
            <a:lumOff val="-1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360768" rIns="92456" bIns="92456" numCol="1" spcCol="1270" anchor="t" anchorCtr="0">
          <a:noAutofit/>
        </a:bodyPr>
        <a:lstStyle/>
        <a:p>
          <a:pPr marL="57150" lvl="1" indent="-57150" algn="l" defTabSz="444500">
            <a:lnSpc>
              <a:spcPct val="90000"/>
            </a:lnSpc>
            <a:spcBef>
              <a:spcPct val="0"/>
            </a:spcBef>
            <a:spcAft>
              <a:spcPct val="15000"/>
            </a:spcAft>
            <a:buChar char="•"/>
          </a:pPr>
          <a:r>
            <a:rPr lang="es-CR" sz="1000" kern="1200"/>
            <a:t>Convertir los residuos en recursos</a:t>
          </a:r>
        </a:p>
        <a:p>
          <a:pPr marL="57150" lvl="1" indent="-57150" algn="l" defTabSz="444500">
            <a:lnSpc>
              <a:spcPct val="90000"/>
            </a:lnSpc>
            <a:spcBef>
              <a:spcPct val="0"/>
            </a:spcBef>
            <a:spcAft>
              <a:spcPct val="15000"/>
            </a:spcAft>
            <a:buChar char="•"/>
          </a:pPr>
          <a:r>
            <a:rPr lang="es-CR" sz="1000" kern="1200"/>
            <a:t>Eliminar la contaminación</a:t>
          </a:r>
        </a:p>
        <a:p>
          <a:pPr marL="57150" lvl="1" indent="-57150" algn="l" defTabSz="444500">
            <a:lnSpc>
              <a:spcPct val="90000"/>
            </a:lnSpc>
            <a:spcBef>
              <a:spcPct val="0"/>
            </a:spcBef>
            <a:spcAft>
              <a:spcPct val="15000"/>
            </a:spcAft>
            <a:buChar char="•"/>
          </a:pPr>
          <a:r>
            <a:rPr lang="es-CR" sz="1000" kern="1200"/>
            <a:t>Regenerar la naturaleza</a:t>
          </a:r>
        </a:p>
        <a:p>
          <a:pPr marL="57150" lvl="1" indent="-57150" algn="l" defTabSz="444500">
            <a:lnSpc>
              <a:spcPct val="90000"/>
            </a:lnSpc>
            <a:spcBef>
              <a:spcPct val="0"/>
            </a:spcBef>
            <a:spcAft>
              <a:spcPct val="15000"/>
            </a:spcAft>
            <a:buChar char="•"/>
          </a:pPr>
          <a:r>
            <a:rPr lang="es-CR" sz="1000" kern="1200"/>
            <a:t>Generar valor agregado</a:t>
          </a:r>
        </a:p>
        <a:p>
          <a:pPr marL="57150" lvl="1" indent="-57150" algn="l" defTabSz="444500">
            <a:lnSpc>
              <a:spcPct val="90000"/>
            </a:lnSpc>
            <a:spcBef>
              <a:spcPct val="0"/>
            </a:spcBef>
            <a:spcAft>
              <a:spcPct val="15000"/>
            </a:spcAft>
            <a:buChar char="•"/>
          </a:pPr>
          <a:r>
            <a:rPr lang="es-CR" sz="1000" kern="1200"/>
            <a:t>Energía de fuentes renovables</a:t>
          </a:r>
        </a:p>
        <a:p>
          <a:pPr marL="57150" lvl="1" indent="-57150" algn="l" defTabSz="444500">
            <a:lnSpc>
              <a:spcPct val="90000"/>
            </a:lnSpc>
            <a:spcBef>
              <a:spcPct val="0"/>
            </a:spcBef>
            <a:spcAft>
              <a:spcPct val="15000"/>
            </a:spcAft>
            <a:buChar char="•"/>
          </a:pPr>
          <a:r>
            <a:rPr lang="es-CR" sz="1000" kern="1200"/>
            <a:t>Durabilidad</a:t>
          </a:r>
        </a:p>
        <a:p>
          <a:pPr marL="57150" lvl="1" indent="-57150" algn="l" defTabSz="444500">
            <a:lnSpc>
              <a:spcPct val="90000"/>
            </a:lnSpc>
            <a:spcBef>
              <a:spcPct val="0"/>
            </a:spcBef>
            <a:spcAft>
              <a:spcPct val="15000"/>
            </a:spcAft>
            <a:buChar char="•"/>
          </a:pPr>
          <a:r>
            <a:rPr lang="es-CR" sz="1000" kern="1200"/>
            <a:t>Reutilización</a:t>
          </a:r>
        </a:p>
        <a:p>
          <a:pPr marL="57150" lvl="1" indent="-57150" algn="l" defTabSz="444500">
            <a:lnSpc>
              <a:spcPct val="90000"/>
            </a:lnSpc>
            <a:spcBef>
              <a:spcPct val="0"/>
            </a:spcBef>
            <a:spcAft>
              <a:spcPct val="15000"/>
            </a:spcAft>
            <a:buChar char="•"/>
          </a:pPr>
          <a:r>
            <a:rPr lang="es-CR" sz="1000" kern="1200"/>
            <a:t>Reparar</a:t>
          </a:r>
        </a:p>
        <a:p>
          <a:pPr marL="57150" lvl="1" indent="-57150" algn="l" defTabSz="444500">
            <a:lnSpc>
              <a:spcPct val="90000"/>
            </a:lnSpc>
            <a:spcBef>
              <a:spcPct val="0"/>
            </a:spcBef>
            <a:spcAft>
              <a:spcPct val="15000"/>
            </a:spcAft>
            <a:buChar char="•"/>
          </a:pPr>
          <a:r>
            <a:rPr lang="es-CR" sz="1000" kern="1200"/>
            <a:t>Reciclaje</a:t>
          </a:r>
        </a:p>
        <a:p>
          <a:pPr marL="57150" lvl="1" indent="-57150" algn="l" defTabSz="444500">
            <a:lnSpc>
              <a:spcPct val="90000"/>
            </a:lnSpc>
            <a:spcBef>
              <a:spcPct val="0"/>
            </a:spcBef>
            <a:spcAft>
              <a:spcPct val="15000"/>
            </a:spcAft>
            <a:buChar char="•"/>
          </a:pPr>
          <a:r>
            <a:rPr lang="es-CR" sz="1000" kern="1200"/>
            <a:t>Innovación</a:t>
          </a:r>
        </a:p>
        <a:p>
          <a:pPr marL="57150" lvl="1" indent="-57150" algn="l" defTabSz="444500">
            <a:lnSpc>
              <a:spcPct val="90000"/>
            </a:lnSpc>
            <a:spcBef>
              <a:spcPct val="0"/>
            </a:spcBef>
            <a:spcAft>
              <a:spcPct val="15000"/>
            </a:spcAft>
            <a:buChar char="•"/>
          </a:pPr>
          <a:r>
            <a:rPr lang="es-CR" sz="1000" kern="1200"/>
            <a:t>Cero desperdicios</a:t>
          </a:r>
        </a:p>
      </dsp:txBody>
      <dsp:txXfrm>
        <a:off x="3414256" y="622023"/>
        <a:ext cx="2037548" cy="2496312"/>
      </dsp:txXfrm>
    </dsp:sp>
    <dsp:sp modelId="{B7735165-8729-4709-8974-B3E43946AF19}">
      <dsp:nvSpPr>
        <dsp:cNvPr id="0" name=""/>
        <dsp:cNvSpPr/>
      </dsp:nvSpPr>
      <dsp:spPr>
        <a:xfrm>
          <a:off x="3005197" y="82064"/>
          <a:ext cx="818118" cy="818118"/>
        </a:xfrm>
        <a:prstGeom prst="rect">
          <a:avLst/>
        </a:prstGeom>
        <a:blipFill>
          <a:blip xmlns:r="http://schemas.openxmlformats.org/officeDocument/2006/relationships" r:embed="rId3">
            <a:extLst>
              <a:ext uri="{96DAC541-7B7A-43D3-8B79-37D633B846F1}">
                <asvg:svgBlip xmlns:asvg="http://schemas.microsoft.com/office/drawing/2016/SVG/main" r:embed="rId4"/>
              </a:ext>
            </a:extLst>
          </a:blip>
          <a:srcRect/>
          <a:stretch>
            <a:fillRect/>
          </a:stretch>
        </a:blipFill>
        <a:ln w="12700" cap="flat" cmpd="sng" algn="ctr">
          <a:no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478E3CA-F3AE-4CDB-A9EA-14526397623C}">
      <dsp:nvSpPr>
        <dsp:cNvPr id="0" name=""/>
        <dsp:cNvSpPr/>
      </dsp:nvSpPr>
      <dsp:spPr>
        <a:xfrm rot="5400000">
          <a:off x="116130" y="505825"/>
          <a:ext cx="782571" cy="94933"/>
        </a:xfrm>
        <a:prstGeom prst="rect">
          <a:avLst/>
        </a:prstGeom>
        <a:solidFill>
          <a:schemeClr val="accent6">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C31F3AED-3249-458B-8597-A177AFECB6F2}">
      <dsp:nvSpPr>
        <dsp:cNvPr id="0" name=""/>
        <dsp:cNvSpPr/>
      </dsp:nvSpPr>
      <dsp:spPr>
        <a:xfrm>
          <a:off x="292180" y="514"/>
          <a:ext cx="1054819" cy="632891"/>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CR" sz="800" kern="1200"/>
            <a:t>Vinculación MEIC-CFMI</a:t>
          </a:r>
        </a:p>
      </dsp:txBody>
      <dsp:txXfrm>
        <a:off x="310717" y="19051"/>
        <a:ext cx="1017745" cy="595817"/>
      </dsp:txXfrm>
    </dsp:sp>
    <dsp:sp modelId="{74F3C69A-5F22-427E-901A-51157CC2C78D}">
      <dsp:nvSpPr>
        <dsp:cNvPr id="0" name=""/>
        <dsp:cNvSpPr/>
      </dsp:nvSpPr>
      <dsp:spPr>
        <a:xfrm rot="5400000">
          <a:off x="116130" y="1296939"/>
          <a:ext cx="782571" cy="94933"/>
        </a:xfrm>
        <a:prstGeom prst="rect">
          <a:avLst/>
        </a:prstGeom>
        <a:solidFill>
          <a:schemeClr val="accent6">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1A16BC3-FB86-4AC5-A9A1-BF7CCF7CE811}">
      <dsp:nvSpPr>
        <dsp:cNvPr id="0" name=""/>
        <dsp:cNvSpPr/>
      </dsp:nvSpPr>
      <dsp:spPr>
        <a:xfrm>
          <a:off x="292180" y="791629"/>
          <a:ext cx="1054819" cy="632891"/>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CR" sz="800" kern="1200"/>
            <a:t>Identificación de necesidades sectoriales</a:t>
          </a:r>
        </a:p>
      </dsp:txBody>
      <dsp:txXfrm>
        <a:off x="310717" y="810166"/>
        <a:ext cx="1017745" cy="595817"/>
      </dsp:txXfrm>
    </dsp:sp>
    <dsp:sp modelId="{757C6939-4282-4C87-82EC-205CF5E78422}">
      <dsp:nvSpPr>
        <dsp:cNvPr id="0" name=""/>
        <dsp:cNvSpPr/>
      </dsp:nvSpPr>
      <dsp:spPr>
        <a:xfrm>
          <a:off x="511687" y="1692497"/>
          <a:ext cx="1394366" cy="94933"/>
        </a:xfrm>
        <a:prstGeom prst="rect">
          <a:avLst/>
        </a:prstGeom>
        <a:solidFill>
          <a:schemeClr val="accent6">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DF7D924-17E4-4D34-BA89-63231CAE4B51}">
      <dsp:nvSpPr>
        <dsp:cNvPr id="0" name=""/>
        <dsp:cNvSpPr/>
      </dsp:nvSpPr>
      <dsp:spPr>
        <a:xfrm>
          <a:off x="292180" y="1582743"/>
          <a:ext cx="1054819" cy="632891"/>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CR" sz="800" kern="1200"/>
            <a:t>Definir los departamentos del MEIC vinculados</a:t>
          </a:r>
        </a:p>
      </dsp:txBody>
      <dsp:txXfrm>
        <a:off x="310717" y="1601280"/>
        <a:ext cx="1017745" cy="595817"/>
      </dsp:txXfrm>
    </dsp:sp>
    <dsp:sp modelId="{209826FB-54C4-4D64-BF19-641C2328CE9E}">
      <dsp:nvSpPr>
        <dsp:cNvPr id="0" name=""/>
        <dsp:cNvSpPr/>
      </dsp:nvSpPr>
      <dsp:spPr>
        <a:xfrm rot="16200000">
          <a:off x="1519039" y="1296939"/>
          <a:ext cx="782571" cy="94933"/>
        </a:xfrm>
        <a:prstGeom prst="rect">
          <a:avLst/>
        </a:prstGeom>
        <a:solidFill>
          <a:schemeClr val="accent6">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D1DD5DE-D4CB-4712-8906-553F53B69630}">
      <dsp:nvSpPr>
        <dsp:cNvPr id="0" name=""/>
        <dsp:cNvSpPr/>
      </dsp:nvSpPr>
      <dsp:spPr>
        <a:xfrm>
          <a:off x="1695090" y="1582743"/>
          <a:ext cx="1054819" cy="632891"/>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CR" sz="800" kern="1200"/>
            <a:t>CFMI como canalizador de empresas o ideas de negocio forestal</a:t>
          </a:r>
        </a:p>
      </dsp:txBody>
      <dsp:txXfrm>
        <a:off x="1713627" y="1601280"/>
        <a:ext cx="1017745" cy="595817"/>
      </dsp:txXfrm>
    </dsp:sp>
    <dsp:sp modelId="{D8A00AB2-A301-40C2-A2FD-AEBDC36B06F1}">
      <dsp:nvSpPr>
        <dsp:cNvPr id="0" name=""/>
        <dsp:cNvSpPr/>
      </dsp:nvSpPr>
      <dsp:spPr>
        <a:xfrm rot="16200000">
          <a:off x="1519039" y="505825"/>
          <a:ext cx="782571" cy="94933"/>
        </a:xfrm>
        <a:prstGeom prst="rect">
          <a:avLst/>
        </a:prstGeom>
        <a:solidFill>
          <a:schemeClr val="accent6">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F18AD11-21EF-4EBA-B394-6352E26ADCA2}">
      <dsp:nvSpPr>
        <dsp:cNvPr id="0" name=""/>
        <dsp:cNvSpPr/>
      </dsp:nvSpPr>
      <dsp:spPr>
        <a:xfrm>
          <a:off x="1695090" y="791629"/>
          <a:ext cx="1054819" cy="632891"/>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CR" sz="800" kern="1200"/>
            <a:t>Asesoría y análisis de empresas y productos CFMI</a:t>
          </a:r>
        </a:p>
      </dsp:txBody>
      <dsp:txXfrm>
        <a:off x="1713627" y="810166"/>
        <a:ext cx="1017745" cy="595817"/>
      </dsp:txXfrm>
    </dsp:sp>
    <dsp:sp modelId="{2B222BAD-B4CC-4496-8C05-642919FB00AB}">
      <dsp:nvSpPr>
        <dsp:cNvPr id="0" name=""/>
        <dsp:cNvSpPr/>
      </dsp:nvSpPr>
      <dsp:spPr>
        <a:xfrm>
          <a:off x="1914597" y="110268"/>
          <a:ext cx="1394366" cy="94933"/>
        </a:xfrm>
        <a:prstGeom prst="rect">
          <a:avLst/>
        </a:prstGeom>
        <a:solidFill>
          <a:schemeClr val="accent6">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B95D8A5-5AA7-4B72-B1DF-75F7D7EF2CAE}">
      <dsp:nvSpPr>
        <dsp:cNvPr id="0" name=""/>
        <dsp:cNvSpPr/>
      </dsp:nvSpPr>
      <dsp:spPr>
        <a:xfrm>
          <a:off x="1695090" y="514"/>
          <a:ext cx="1054819" cy="632891"/>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CR" sz="800" kern="1200"/>
            <a:t>Identificación de la necesidad empresarial en el MEIC</a:t>
          </a:r>
        </a:p>
      </dsp:txBody>
      <dsp:txXfrm>
        <a:off x="1713627" y="19051"/>
        <a:ext cx="1017745" cy="595817"/>
      </dsp:txXfrm>
    </dsp:sp>
    <dsp:sp modelId="{FEFECAA8-29AC-4236-94A2-3C85A2477F54}">
      <dsp:nvSpPr>
        <dsp:cNvPr id="0" name=""/>
        <dsp:cNvSpPr/>
      </dsp:nvSpPr>
      <dsp:spPr>
        <a:xfrm rot="5400000">
          <a:off x="2921949" y="505825"/>
          <a:ext cx="782571" cy="94933"/>
        </a:xfrm>
        <a:prstGeom prst="rect">
          <a:avLst/>
        </a:prstGeom>
        <a:solidFill>
          <a:schemeClr val="accent6">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D073D6F-13B5-48E6-B106-86555422A5C2}">
      <dsp:nvSpPr>
        <dsp:cNvPr id="0" name=""/>
        <dsp:cNvSpPr/>
      </dsp:nvSpPr>
      <dsp:spPr>
        <a:xfrm>
          <a:off x="3098000" y="514"/>
          <a:ext cx="1054819" cy="632891"/>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CR" sz="800" kern="1200"/>
            <a:t>Vínculo con el mercado local, estrategias nacionales</a:t>
          </a:r>
        </a:p>
      </dsp:txBody>
      <dsp:txXfrm>
        <a:off x="3116537" y="19051"/>
        <a:ext cx="1017745" cy="595817"/>
      </dsp:txXfrm>
    </dsp:sp>
    <dsp:sp modelId="{51CFC35B-6F14-4147-A4BD-FBB496446553}">
      <dsp:nvSpPr>
        <dsp:cNvPr id="0" name=""/>
        <dsp:cNvSpPr/>
      </dsp:nvSpPr>
      <dsp:spPr>
        <a:xfrm rot="5400000">
          <a:off x="2921949" y="1296939"/>
          <a:ext cx="782571" cy="94933"/>
        </a:xfrm>
        <a:prstGeom prst="rect">
          <a:avLst/>
        </a:prstGeom>
        <a:solidFill>
          <a:schemeClr val="accent6">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294D758-957E-47CF-A679-213D9EB7ECDC}">
      <dsp:nvSpPr>
        <dsp:cNvPr id="0" name=""/>
        <dsp:cNvSpPr/>
      </dsp:nvSpPr>
      <dsp:spPr>
        <a:xfrm>
          <a:off x="3098000" y="791629"/>
          <a:ext cx="1054819" cy="632891"/>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CR" sz="800" kern="1200"/>
            <a:t>Estudios y analisis complementacios MEIC</a:t>
          </a:r>
        </a:p>
      </dsp:txBody>
      <dsp:txXfrm>
        <a:off x="3116537" y="810166"/>
        <a:ext cx="1017745" cy="595817"/>
      </dsp:txXfrm>
    </dsp:sp>
    <dsp:sp modelId="{D01694C7-6D68-4291-8338-AD40484E43F0}">
      <dsp:nvSpPr>
        <dsp:cNvPr id="0" name=""/>
        <dsp:cNvSpPr/>
      </dsp:nvSpPr>
      <dsp:spPr>
        <a:xfrm>
          <a:off x="3098000" y="1582743"/>
          <a:ext cx="1054819" cy="632891"/>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CR" sz="800" kern="1200"/>
            <a:t>Oportunidades de financiamiento</a:t>
          </a:r>
        </a:p>
      </dsp:txBody>
      <dsp:txXfrm>
        <a:off x="3116537" y="1601280"/>
        <a:ext cx="1017745" cy="595817"/>
      </dsp:txXfrm>
    </dsp:sp>
  </dsp:spTree>
</dsp:drawing>
</file>

<file path=word/diagrams/layout1.xml><?xml version="1.0" encoding="utf-8"?>
<dgm:layoutDef xmlns:dgm="http://schemas.openxmlformats.org/drawingml/2006/diagram" xmlns:a="http://schemas.openxmlformats.org/drawingml/2006/main" uniqueId="urn:microsoft.com/office/officeart/2008/layout/PictureStrips">
  <dgm:title val=""/>
  <dgm:desc val=""/>
  <dgm:catLst>
    <dgm:cat type="list" pri="12500"/>
    <dgm:cat type="picture" pri="13000"/>
    <dgm:cat type="pictureconvert" pri="13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40" srcId="0" destId="10" srcOrd="0" destOrd="0"/>
        <dgm:cxn modelId="50" srcId="0" destId="20" srcOrd="1" destOrd="0"/>
        <dgm:cxn modelId="60" srcId="0" destId="30" srcOrd="2" destOrd="0"/>
        <dgm:cxn modelId="70" srcId="0" destId="40" srcOrd="2" destOrd="0"/>
      </dgm:cxnLst>
      <dgm:bg/>
      <dgm:whole/>
    </dgm:dataModel>
  </dgm:clrData>
  <dgm:layoutNode name="Name0">
    <dgm:varLst>
      <dgm:dir/>
      <dgm:resizeHandles val="exact"/>
    </dgm:varLst>
    <dgm:choose name="Name1">
      <dgm:if name="Name2" func="var" arg="dir" op="equ" val="norm">
        <dgm:alg type="snake">
          <dgm:param type="off" val="ctr"/>
        </dgm:alg>
      </dgm:if>
      <dgm:else name="Name3">
        <dgm:alg type="snake">
          <dgm:param type="off" val="ctr"/>
          <dgm:param type="grDir" val="tR"/>
        </dgm:alg>
      </dgm:else>
    </dgm:choose>
    <dgm:shape xmlns:r="http://schemas.openxmlformats.org/officeDocument/2006/relationships" r:blip="">
      <dgm:adjLst/>
    </dgm:shape>
    <dgm:constrLst>
      <dgm:constr type="primFontSz" for="des" ptType="node" op="equ" val="65"/>
      <dgm:constr type="w" for="ch" forName="composite" refType="w"/>
      <dgm:constr type="h" for="ch" forName="composite" refType="h"/>
      <dgm:constr type="sp" refType="h" refFor="ch" refForName="composite" op="equ" fact="0.1"/>
      <dgm:constr type="h" for="ch" forName="sibTrans" refType="h" refFor="ch" refForName="composite" op="equ" fact="0.1"/>
      <dgm:constr type="w" for="ch" forName="sibTrans" refType="h" refFor="ch" refForName="sibTrans" op="equ"/>
    </dgm:constrLst>
    <dgm:forEach name="nodesForEach" axis="ch" ptType="node">
      <dgm:layoutNode name="composite">
        <dgm:alg type="composite">
          <dgm:param type="ar" val="3"/>
        </dgm:alg>
        <dgm:shape xmlns:r="http://schemas.openxmlformats.org/officeDocument/2006/relationships" r:blip="">
          <dgm:adjLst/>
        </dgm:shape>
        <dgm:choose name="Name4">
          <dgm:if name="Name5" func="var" arg="dir" op="equ" val="norm">
            <dgm:constrLst>
              <dgm:constr type="l" for="ch" forName="rect1" refType="w" fact="0.04"/>
              <dgm:constr type="t" for="ch" forName="rect1" refType="h" fact="0.13"/>
              <dgm:constr type="w" for="ch" forName="rect1" refType="w" fact="0.96"/>
              <dgm:constr type="h" for="ch" forName="rect1" refType="h" fact="0.9"/>
              <dgm:constr type="l" for="ch" forName="rect2" refType="w" fact="0"/>
              <dgm:constr type="t" for="ch" forName="rect2" refType="h" fact="0"/>
              <dgm:constr type="w" for="ch" forName="rect2" refType="w" fact="0.21"/>
              <dgm:constr type="h" for="ch" forName="rect2" refType="w" fact="0.315"/>
            </dgm:constrLst>
          </dgm:if>
          <dgm:else name="Name6">
            <dgm:constrLst>
              <dgm:constr type="l" for="ch" forName="rect1" refType="w" fact="0"/>
              <dgm:constr type="t" for="ch" forName="rect1" refType="h" fact="0.13"/>
              <dgm:constr type="w" for="ch" forName="rect1" refType="w" fact="0.96"/>
              <dgm:constr type="h" for="ch" forName="rect1" refType="h" fact="0.9"/>
              <dgm:constr type="l" for="ch" forName="rect2" refType="w" fact="0.79"/>
              <dgm:constr type="t" for="ch" forName="rect2" refType="h" fact="0"/>
              <dgm:constr type="w" for="ch" forName="rect2" refType="w" fact="0.21"/>
              <dgm:constr type="h" for="ch" forName="rect2" refType="w" fact="0.315"/>
            </dgm:constrLst>
          </dgm:else>
        </dgm:choose>
        <dgm:layoutNode name="rect1" styleLbl="trAlignAcc1">
          <dgm:varLst>
            <dgm:bulletEnabled val="1"/>
          </dgm:varLst>
          <dgm:alg type="tx">
            <dgm:param type="parTxLTRAlign" val="l"/>
          </dgm:alg>
          <dgm:shape xmlns:r="http://schemas.openxmlformats.org/officeDocument/2006/relationships" type="rect" r:blip="">
            <dgm:adjLst/>
          </dgm:shape>
          <dgm:presOf axis="desOrSelf" ptType="node"/>
          <dgm:choose name="Name7">
            <dgm:if name="Name8" func="var" arg="dir" op="equ" val="norm">
              <dgm:constrLst>
                <dgm:constr type="lMarg" refType="w" fact="0.6"/>
                <dgm:constr type="rMarg" refType="primFontSz" fact="0.3"/>
                <dgm:constr type="tMarg" refType="primFontSz" fact="0.3"/>
                <dgm:constr type="bMarg" refType="primFontSz" fact="0.3"/>
              </dgm:constrLst>
            </dgm:if>
            <dgm:else name="Name9">
              <dgm:constrLst>
                <dgm:constr type="lMarg" refType="primFontSz" fact="0.3"/>
                <dgm:constr type="rMarg" refType="w" fact="0.6"/>
                <dgm:constr type="tMarg" refType="primFontSz" fact="0.3"/>
                <dgm:constr type="bMarg" refType="primFontSz" fact="0.3"/>
              </dgm:constrLst>
            </dgm:else>
          </dgm:choose>
          <dgm:ruleLst>
            <dgm:rule type="primFontSz" val="5" fact="NaN" max="NaN"/>
          </dgm:ruleLst>
        </dgm:layoutNode>
        <dgm:layoutNode name="rect2" styleLbl="fgImgPlac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List2">
  <dgm:title val=""/>
  <dgm:desc val=""/>
  <dgm:catLst>
    <dgm:cat type="list" pri="6000"/>
    <dgm:cat type="relationship" pri="16000"/>
    <dgm:cat type="picture" pri="29000"/>
    <dgm:cat type="pictureconvert" pri="29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dgm:varLst>
    <dgm:choose name="Name0">
      <dgm:if name="Name1" func="var" arg="dir" op="equ" val="norm">
        <dgm:alg type="lin">
          <dgm:param type="linDir" val="fromL"/>
          <dgm:param type="nodeVertAlign" val="t"/>
        </dgm:alg>
      </dgm:if>
      <dgm:else name="Name2">
        <dgm:alg type="lin">
          <dgm:param type="linDir" val="fromR"/>
          <dgm:param type="nodeVertAlign" val="t"/>
        </dgm:alg>
      </dgm:else>
    </dgm:choose>
    <dgm:shape xmlns:r="http://schemas.openxmlformats.org/officeDocument/2006/relationships" r:blip="">
      <dgm:adjLst/>
    </dgm:shape>
    <dgm:presOf/>
    <dgm:constrLst>
      <dgm:constr type="w" for="ch" forName="compositeNode" refType="w"/>
      <dgm:constr type="h" for="ch" forName="compositeNode" refType="h"/>
      <dgm:constr type="w" for="ch" forName="sibTrans" refType="w" refFor="ch" refForName="compositeNode" op="equ" fact="0.2"/>
      <dgm:constr type="h" for="des" forName="childNode" op="equ"/>
      <dgm:constr type="w" for="des" forName="childNode" op="equ"/>
      <dgm:constr type="w" for="des" forName="parentNode" op="equ"/>
      <dgm:constr type="h" for="des" forName="image" op="equ"/>
      <dgm:constr type="w" for="des" forName="image" op="equ"/>
      <dgm:constr type="primFontSz" for="des" forName="parentNode" op="equ" val="65"/>
      <dgm:constr type="primFontSz" for="des" forName="childNode" op="equ" val="65"/>
    </dgm:constrLst>
    <dgm:ruleLst/>
    <dgm:forEach name="Name3" axis="ch" ptType="node">
      <dgm:layoutNode name="compositeNode">
        <dgm:varLst>
          <dgm:bulletEnabled val="1"/>
        </dgm:varLst>
        <dgm:alg type="composite"/>
        <dgm:presOf/>
        <dgm:choose name="Name4">
          <dgm:if name="Name5" func="var" arg="dir" op="equ" val="norm">
            <dgm:constrLst>
              <dgm:constr type="w" for="ch" forName="image" refType="w"/>
              <dgm:constr type="h" for="ch" forName="image" refType="h"/>
              <dgm:constr type="h" for="ch" forName="image" refType="w" refFor="ch" refForName="image" op="lte"/>
              <dgm:constr type="w" for="ch" forName="image" refType="h" refFor="ch" refForName="image" op="lte"/>
              <dgm:constr type="w" for="ch" forName="image" refType="w" op="lte" fact="0.33"/>
              <dgm:constr type="h" for="ch" forName="image" refType="h" op="lte" fact="0.33"/>
              <dgm:constr type="t" for="ch" forName="image"/>
              <dgm:constr type="l" for="ch" forName="image"/>
              <dgm:constr type="w" for="ch" forName="childNode" refType="w" fact="0.85"/>
              <dgm:constr type="h" for="ch" forName="childNode" refType="h" fact="0.78"/>
              <dgm:constr type="t" for="ch" forName="childNode" refType="h" refFor="ch" refForName="image" fact="0.66"/>
              <dgm:constr type="l" for="ch" forName="childNode" refType="w" refFor="ch" refForName="image" fact="0.5"/>
              <dgm:constr type="tMarg" for="ch" forName="childNode" refType="w" refFor="ch" refForName="image" fact="1.25"/>
              <dgm:constr type="t" for="ch" forName="parentNode" refType="h" refFor="ch" refForName="image" fact="0.66"/>
              <dgm:constr type="b" for="ch" forName="parentNode" refType="b" refFor="ch" refForName="childNode"/>
              <dgm:constr type="l" for="ch" forName="parentNode"/>
              <dgm:constr type="r" for="ch" forName="parentNode" refType="l" refFor="ch" refForName="childNode"/>
              <dgm:constr type="rMarg" for="ch" forName="parentNode" refType="w" refFor="ch" refForName="image" fact="1.25"/>
            </dgm:constrLst>
          </dgm:if>
          <dgm:else name="Name6">
            <dgm:constrLst>
              <dgm:constr type="w" for="ch" forName="image" refType="w"/>
              <dgm:constr type="h" for="ch" forName="image" refType="h"/>
              <dgm:constr type="h" for="ch" forName="image" refType="w" refFor="ch" refForName="image" op="lte"/>
              <dgm:constr type="w" for="ch" forName="image" refType="h" refFor="ch" refForName="image" op="lte"/>
              <dgm:constr type="w" for="ch" forName="image" refType="w" op="lte" fact="0.33"/>
              <dgm:constr type="h" for="ch" forName="image" refType="h" op="lte" fact="0.33"/>
              <dgm:constr type="t" for="ch" forName="image"/>
              <dgm:constr type="r" for="ch" forName="image" refType="w"/>
              <dgm:constr type="w" for="ch" forName="childNode" refType="w" fact="0.85"/>
              <dgm:constr type="h" for="ch" forName="childNode" refType="h" fact="0.78"/>
              <dgm:constr type="t" for="ch" forName="childNode" refType="h" refFor="ch" refForName="image" fact="0.66"/>
              <dgm:constr type="r" for="ch" forName="childNode" refType="w"/>
              <dgm:constr type="rOff" for="ch" forName="childNode" refType="w" refFor="ch" refForName="image" fact="-0.5"/>
              <dgm:constr type="tMarg" for="ch" forName="childNode" refType="w" refFor="ch" refForName="image" fact="1.25"/>
              <dgm:constr type="t" for="ch" forName="parentNode" refType="h" refFor="ch" refForName="image" fact="0.66"/>
              <dgm:constr type="b" for="ch" forName="parentNode" refType="b" refFor="ch" refForName="childNode"/>
              <dgm:constr type="r" for="ch" forName="parentNode" refType="w"/>
              <dgm:constr type="l" for="ch" forName="parentNode" refType="r" refFor="ch" refForName="childNode"/>
              <dgm:constr type="lOff" for="ch" forName="parentNode" refType="rOff" refFor="ch" refForName="childNode"/>
              <dgm:constr type="lMarg" for="ch" forName="parentNode" refType="w" refFor="ch" refForName="image" fact="1.25"/>
            </dgm:constrLst>
          </dgm:else>
        </dgm:choose>
        <dgm:ruleLst>
          <dgm:rule type="w" for="ch" forName="childNode" val="NaN" fact="0.4" max="NaN"/>
          <dgm:rule type="h" for="ch" forName="childNode" val="NaN" fact="0.5" max="NaN"/>
        </dgm:ruleLst>
        <dgm:layoutNode name="image" styleLbl="fgImgPlace1">
          <dgm:alg type="sp"/>
          <dgm:shape xmlns:r="http://schemas.openxmlformats.org/officeDocument/2006/relationships" type="rect" r:blip="" zOrderOff="4" blipPhldr="1">
            <dgm:adjLst/>
          </dgm:shape>
          <dgm:presOf/>
          <dgm:constrLst/>
          <dgm:ruleLst/>
        </dgm:layoutNode>
        <dgm:layoutNode name="childNode" styleLbl="node1">
          <dgm:varLst>
            <dgm:bulletEnabled val="1"/>
          </dgm:varLst>
          <dgm:alg type="tx">
            <dgm:param type="stBulletLvl" val="1"/>
          </dgm:alg>
          <dgm:shape xmlns:r="http://schemas.openxmlformats.org/officeDocument/2006/relationships" type="rect" r:blip="" zOrderOff="2">
            <dgm:adjLst/>
          </dgm:shape>
          <dgm:presOf axis="des" ptType="node"/>
          <dgm:constrLst/>
          <dgm:ruleLst>
            <dgm:rule type="primFontSz" val="5" fact="NaN" max="NaN"/>
          </dgm:ruleLst>
        </dgm:layoutNode>
        <dgm:layoutNode name="parentNode" styleLbl="revTx">
          <dgm:varLst>
            <dgm:chMax val="0"/>
            <dgm:bulletEnabled val="1"/>
          </dgm:varLst>
          <dgm:choose name="Name7">
            <dgm:if name="Name8" func="var" arg="dir" op="equ" val="norm">
              <dgm:alg type="tx">
                <dgm:param type="autoTxRot" val="grav"/>
                <dgm:param type="txAnchorVert" val="t"/>
                <dgm:param type="parTxLTRAlign" val="r"/>
                <dgm:param type="parTxRTLAlign" val="r"/>
              </dgm:alg>
              <dgm:shape xmlns:r="http://schemas.openxmlformats.org/officeDocument/2006/relationships" rot="270" type="rect" r:blip="">
                <dgm:adjLst/>
              </dgm:shape>
              <dgm:presOf axis="self"/>
              <dgm:constrLst>
                <dgm:constr type="lMarg"/>
                <dgm:constr type="bMarg"/>
                <dgm:constr type="tMarg"/>
              </dgm:constrLst>
            </dgm:if>
            <dgm:else name="Name9">
              <dgm:alg type="tx">
                <dgm:param type="autoTxRot" val="grav"/>
                <dgm:param type="parTxLTRAlign" val="l"/>
                <dgm:param type="parTxRTLAlign" val="l"/>
              </dgm:alg>
              <dgm:shape xmlns:r="http://schemas.openxmlformats.org/officeDocument/2006/relationships" rot="90" type="rect" r:blip="">
                <dgm:adjLst/>
              </dgm:shape>
              <dgm:presOf axis="self"/>
              <dgm:constrLst>
                <dgm:constr type="rMarg"/>
                <dgm:constr type="bMarg"/>
                <dgm:constr type="tMarg"/>
              </dgm:constrLst>
            </dgm:else>
          </dgm:choose>
          <dgm:ruleLst>
            <dgm:rule type="primFontSz" val="5" fact="NaN" max="NaN"/>
          </dgm:ruleLst>
        </dgm:layoutNode>
      </dgm:layoutNode>
      <dgm:forEach name="Name10" axis="followSib" ptType="sibTrans" cnt="1">
        <dgm:layoutNode name="sibTrans">
          <dgm:alg type="sp"/>
          <dgm:shape xmlns:r="http://schemas.openxmlformats.org/officeDocument/2006/relationships" r:blip="">
            <dgm:adjLst/>
          </dgm:shape>
          <dgm:presOf axis="sel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bProcess4">
  <dgm:title val=""/>
  <dgm:desc val=""/>
  <dgm:catLst>
    <dgm:cat type="process" pri="19000"/>
  </dgm:catLst>
  <dgm:sampData>
    <dgm:dataModel>
      <dgm:ptLst>
        <dgm:pt modelId="0" type="doc"/>
        <dgm:pt modelId="1">
          <dgm:prSet phldr="1"/>
        </dgm:pt>
        <dgm:pt modelId="2">
          <dgm:prSet phldr="1"/>
        </dgm:pt>
        <dgm:pt modelId="3">
          <dgm:prSet phldr="1"/>
        </dgm:pt>
        <dgm:pt modelId="4">
          <dgm:prSet phldr="1"/>
        </dgm:pt>
        <dgm:pt modelId="5">
          <dgm:prSet phldr="1"/>
        </dgm:pt>
        <dgm:pt modelId="6">
          <dgm:prSet phldr="1"/>
        </dgm:pt>
        <dgm:pt modelId="7">
          <dgm:prSet phldr="1"/>
        </dgm:pt>
        <dgm:pt modelId="8">
          <dgm:prSet phldr="1"/>
        </dgm:pt>
        <dgm:pt modelId="9">
          <dgm:prSet phldr="1"/>
        </dgm:pt>
      </dgm:ptLst>
      <dgm:cxnLst>
        <dgm:cxn modelId="10" srcId="0" destId="1" srcOrd="0" destOrd="0"/>
        <dgm:cxn modelId="11" srcId="0" destId="2" srcOrd="1" destOrd="0"/>
        <dgm:cxn modelId="12" srcId="0" destId="3" srcOrd="2" destOrd="0"/>
        <dgm:cxn modelId="13" srcId="0" destId="4" srcOrd="3" destOrd="0"/>
        <dgm:cxn modelId="14" srcId="0" destId="5" srcOrd="4" destOrd="0"/>
        <dgm:cxn modelId="15" srcId="0" destId="6" srcOrd="5" destOrd="0"/>
        <dgm:cxn modelId="16" srcId="0" destId="7" srcOrd="6" destOrd="0"/>
        <dgm:cxn modelId="17" srcId="0" destId="8" srcOrd="7" destOrd="0"/>
        <dgm:cxn modelId="18" srcId="0" destId="9" srcOrd="8"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dgm:varLst>
    <dgm:choose name="Name1">
      <dgm:if name="Name2" func="var" arg="dir" op="equ" val="norm">
        <dgm:alg type="snake">
          <dgm:param type="grDir" val="tL"/>
          <dgm:param type="flowDir" val="col"/>
          <dgm:param type="contDir" val="revDir"/>
          <dgm:param type="bkpt" val="bal"/>
        </dgm:alg>
      </dgm:if>
      <dgm:else name="Name3">
        <dgm:alg type="snake">
          <dgm:param type="grDir" val="tR"/>
          <dgm:param type="flowDir" val="col"/>
          <dgm:param type="contDir" val="revDir"/>
          <dgm:param type="bkpt" val="bal"/>
        </dgm:alg>
      </dgm:else>
    </dgm:choose>
    <dgm:shape xmlns:r="http://schemas.openxmlformats.org/officeDocument/2006/relationships" r:blip="">
      <dgm:adjLst/>
    </dgm:shape>
    <dgm:presOf/>
    <dgm:constrLst>
      <dgm:constr type="w" for="ch" forName="compNode" refType="w"/>
      <dgm:constr type="h" for="ch" forName="compNode" refType="w" fact="0.6"/>
      <dgm:constr type="h" for="ch" forName="sibTrans" refType="h" refFor="ch" refForName="compNode" op="equ" fact="0.25"/>
      <dgm:constr type="sp" refType="w" fact="0.33"/>
      <dgm:constr type="primFontSz" for="des" forName="node" op="equ" val="65"/>
    </dgm:constrLst>
    <dgm:ruleLst/>
    <dgm:forEach name="nodesForEach" axis="ch" ptType="node">
      <dgm:layoutNode name="compNode">
        <dgm:alg type="composite"/>
        <dgm:shape xmlns:r="http://schemas.openxmlformats.org/officeDocument/2006/relationships" r:blip="">
          <dgm:adjLst/>
        </dgm:shape>
        <dgm:presOf/>
        <dgm:choose name="Name4">
          <dgm:if name="Name5" axis="self" func="var" arg="dir" op="equ" val="norm">
            <dgm:constrLst>
              <dgm:constr type="l" for="ch" forName="dummyConnPt" refType="w" fact="0.2"/>
              <dgm:constr type="t" for="ch" forName="dummyConnPt" refType="w" fact="0.145"/>
              <dgm:constr type="l" for="ch" forName="node"/>
              <dgm:constr type="t" for="ch" forName="node"/>
              <dgm:constr type="h" for="ch" forName="node" refType="h"/>
              <dgm:constr type="w" for="ch" forName="node" refType="w"/>
            </dgm:constrLst>
          </dgm:if>
          <dgm:else name="Name6">
            <dgm:constrLst>
              <dgm:constr type="l" for="ch" forName="dummyConnPt" refType="w" fact="0.8"/>
              <dgm:constr type="t" for="ch" forName="dummyConnPt" refType="w" fact="0.145"/>
              <dgm:constr type="l" for="ch" forName="node"/>
              <dgm:constr type="t" for="ch" forName="node"/>
              <dgm:constr type="h" for="ch" forName="node" refType="h"/>
              <dgm:constr type="w" for="ch" forName="node" refType="w"/>
            </dgm:constrLst>
          </dgm:else>
        </dgm:choose>
        <dgm:ruleLst/>
        <dgm:layoutNode name="dummyConnPt" styleLbl="node1" moveWith="node">
          <dgm:alg type="sp"/>
          <dgm:shape xmlns:r="http://schemas.openxmlformats.org/officeDocument/2006/relationships" r:blip="">
            <dgm:adjLst/>
          </dgm:shape>
          <dgm:presOf/>
          <dgm:constrLst>
            <dgm:constr type="w" val="1"/>
            <dgm:constr type="h" val="1"/>
          </dgm:constrLst>
          <dgm:ruleLst/>
        </dgm:layout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 type="primFontSz" val="65"/>
          </dgm:constrLst>
          <dgm:ruleLst>
            <dgm:rule type="primFontSz" val="5" fact="NaN" max="NaN"/>
          </dgm:ruleLst>
        </dgm:layoutNode>
      </dgm:layoutNode>
      <dgm:forEach name="sibTransForEach" axis="followSib" cnt="1">
        <dgm:layoutNode name="sibTrans" styleLbl="bgSibTrans2D1">
          <dgm:choose name="Name7">
            <dgm:if name="Name8" axis="self" func="var" arg="dir" op="equ" val="norm">
              <dgm:alg type="conn">
                <dgm:param type="srcNode" val="dummyConnPt"/>
                <dgm:param type="dstNode" val="dummyConnPt"/>
                <dgm:param type="begPts" val="bCtr, midR, tCtr"/>
                <dgm:param type="endPts" val="tCtr, midL, bCtr"/>
                <dgm:param type="begSty" val="noArr"/>
                <dgm:param type="endSty" val="noArr"/>
              </dgm:alg>
            </dgm:if>
            <dgm:else name="Name9">
              <dgm:alg type="conn">
                <dgm:param type="srcNode" val="dummyConnPt"/>
                <dgm:param type="dstNode" val="dummyConnPt"/>
                <dgm:param type="begPts" val="bCtr, midL, tCtr"/>
                <dgm:param type="endPts" val="tCtr, midR, bCtr"/>
                <dgm:param type="begSty" val="noArr"/>
                <dgm:param type="endSty" val="noArr"/>
              </dgm:alg>
            </dgm:else>
          </dgm:choose>
          <dgm:shape xmlns:r="http://schemas.openxmlformats.org/officeDocument/2006/relationships" type="conn" r:blip="" zOrderOff="-2">
            <dgm:adjLst/>
          </dgm:shape>
          <dgm:presOf axis="self"/>
          <dgm:constrLst>
            <dgm:constr type="begPad"/>
            <dgm:constr type="endPad"/>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B9308DD53EC7D54394D1E5C084F51A2A" ma:contentTypeVersion="6" ma:contentTypeDescription="Create a new document." ma:contentTypeScope="" ma:versionID="b10fac9b29f13dfb1cae044f557add87">
  <xsd:schema xmlns:xsd="http://www.w3.org/2001/XMLSchema" xmlns:xs="http://www.w3.org/2001/XMLSchema" xmlns:p="http://schemas.microsoft.com/office/2006/metadata/properties" xmlns:ns3="67ff01ac-989a-426c-acd1-87f2f0bf0174" targetNamespace="http://schemas.microsoft.com/office/2006/metadata/properties" ma:root="true" ma:fieldsID="73beff7011728c13547e375adc8b0a0b" ns3:_="">
    <xsd:import namespace="67ff01ac-989a-426c-acd1-87f2f0bf0174"/>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ff01ac-989a-426c-acd1-87f2f0bf01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6B75FDD-4E31-4266-BC5C-F79D11BAFEF0}">
  <ds:schemaRefs>
    <ds:schemaRef ds:uri="http://schemas.microsoft.com/sharepoint/v3/contenttype/forms"/>
  </ds:schemaRefs>
</ds:datastoreItem>
</file>

<file path=customXml/itemProps2.xml><?xml version="1.0" encoding="utf-8"?>
<ds:datastoreItem xmlns:ds="http://schemas.openxmlformats.org/officeDocument/2006/customXml" ds:itemID="{513285AF-9427-48A9-9A2D-338DE79F523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DD4FDD3-59C7-4CAF-B834-5608CE08D89E}">
  <ds:schemaRefs>
    <ds:schemaRef ds:uri="http://schemas.openxmlformats.org/officeDocument/2006/bibliography"/>
  </ds:schemaRefs>
</ds:datastoreItem>
</file>

<file path=customXml/itemProps4.xml><?xml version="1.0" encoding="utf-8"?>
<ds:datastoreItem xmlns:ds="http://schemas.openxmlformats.org/officeDocument/2006/customXml" ds:itemID="{3E7CC530-E7F5-4FF7-82C0-00F44B1148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ff01ac-989a-426c-acd1-87f2f0bf01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740</TotalTime>
  <Pages>36</Pages>
  <Words>9802</Words>
  <Characters>53915</Characters>
  <Application>Microsoft Office Word</Application>
  <DocSecurity>0</DocSecurity>
  <Lines>449</Lines>
  <Paragraphs>127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63590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NATALIA MARIN MATARRITA</dc:creator>
  <cp:keywords/>
  <dc:description/>
  <cp:lastModifiedBy>NATALIA CHACON CID</cp:lastModifiedBy>
  <cp:revision>8</cp:revision>
  <dcterms:created xsi:type="dcterms:W3CDTF">2024-02-19T19:12:00Z</dcterms:created>
  <dcterms:modified xsi:type="dcterms:W3CDTF">2024-02-22T13:52:00Z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0x010100B9308DD53EC7D54394D1E5C084F51A2A</vt:lpwstr>
  </property>
</Properties>
</file>