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4F52" w14:textId="3D52AA6E" w:rsidR="00F04B8C" w:rsidRPr="000E44EC" w:rsidRDefault="003D77E0">
      <w:pPr>
        <w:rPr>
          <w:b/>
          <w:bCs/>
        </w:rPr>
      </w:pPr>
      <w:r>
        <w:rPr>
          <w:b/>
          <w:bCs/>
        </w:rPr>
        <w:t xml:space="preserve">Financiamiento </w:t>
      </w:r>
      <w:r w:rsidR="00007EE0">
        <w:rPr>
          <w:b/>
          <w:bCs/>
        </w:rPr>
        <w:t xml:space="preserve">forestal </w:t>
      </w:r>
      <w:r w:rsidR="00DE1E38">
        <w:rPr>
          <w:b/>
          <w:bCs/>
        </w:rPr>
        <w:t xml:space="preserve">con visión ambiental </w:t>
      </w:r>
      <w:r w:rsidR="00536AE5">
        <w:rPr>
          <w:b/>
          <w:bCs/>
        </w:rPr>
        <w:t>para pequeños y medianos productores</w:t>
      </w:r>
    </w:p>
    <w:p w14:paraId="15803925" w14:textId="3D9EDE19" w:rsidR="008E304C" w:rsidRPr="008E304C" w:rsidRDefault="008E304C" w:rsidP="003F2E53">
      <w:pPr>
        <w:spacing w:after="0"/>
        <w:rPr>
          <w:i/>
          <w:iCs/>
        </w:rPr>
      </w:pPr>
      <w:r w:rsidRPr="008E304C">
        <w:rPr>
          <w:i/>
          <w:iCs/>
        </w:rPr>
        <w:t>Proyecto financiado por la</w:t>
      </w:r>
      <w:r w:rsidR="00613AD9">
        <w:rPr>
          <w:i/>
          <w:iCs/>
        </w:rPr>
        <w:t xml:space="preserve"> OIMT</w:t>
      </w:r>
      <w:r w:rsidR="00E9633C">
        <w:rPr>
          <w:i/>
          <w:iCs/>
        </w:rPr>
        <w:t xml:space="preserve"> </w:t>
      </w:r>
      <w:r w:rsidRPr="008E304C">
        <w:rPr>
          <w:i/>
          <w:iCs/>
        </w:rPr>
        <w:t>contribuye a la validación y promoción de un m</w:t>
      </w:r>
      <w:r w:rsidR="00BC2562">
        <w:rPr>
          <w:i/>
          <w:iCs/>
        </w:rPr>
        <w:t>ecanismo</w:t>
      </w:r>
      <w:r w:rsidR="008D0DF2">
        <w:rPr>
          <w:i/>
          <w:iCs/>
        </w:rPr>
        <w:t xml:space="preserve"> estatal </w:t>
      </w:r>
      <w:r w:rsidRPr="008E304C">
        <w:rPr>
          <w:i/>
          <w:iCs/>
        </w:rPr>
        <w:t>de financiamiento forestal</w:t>
      </w:r>
      <w:r w:rsidR="00781F83">
        <w:rPr>
          <w:i/>
          <w:iCs/>
        </w:rPr>
        <w:t xml:space="preserve"> en Costa Rica, </w:t>
      </w:r>
      <w:r w:rsidR="00613AD9">
        <w:rPr>
          <w:i/>
          <w:iCs/>
        </w:rPr>
        <w:t>dirigido a la</w:t>
      </w:r>
      <w:r w:rsidR="00932B17">
        <w:rPr>
          <w:i/>
          <w:iCs/>
        </w:rPr>
        <w:t xml:space="preserve"> producción de madera </w:t>
      </w:r>
      <w:r w:rsidR="008E4E90">
        <w:rPr>
          <w:i/>
          <w:iCs/>
        </w:rPr>
        <w:t>de rá</w:t>
      </w:r>
      <w:r w:rsidR="00B22406">
        <w:rPr>
          <w:i/>
          <w:iCs/>
        </w:rPr>
        <w:t xml:space="preserve">pido crecimiento </w:t>
      </w:r>
      <w:r w:rsidR="00BC2562">
        <w:rPr>
          <w:i/>
          <w:iCs/>
        </w:rPr>
        <w:t>a baja escala</w:t>
      </w:r>
      <w:r w:rsidR="00CB284B">
        <w:rPr>
          <w:i/>
          <w:iCs/>
        </w:rPr>
        <w:t>.</w:t>
      </w:r>
    </w:p>
    <w:p w14:paraId="37CC3B4C" w14:textId="77777777" w:rsidR="008E304C" w:rsidRDefault="008E304C" w:rsidP="003F2E53">
      <w:pPr>
        <w:spacing w:after="0"/>
      </w:pPr>
    </w:p>
    <w:p w14:paraId="1D0658E2" w14:textId="2E965E4E" w:rsidR="00A5123E" w:rsidRDefault="00A5123E" w:rsidP="003F2E53">
      <w:pPr>
        <w:spacing w:after="0"/>
      </w:pPr>
      <w:r>
        <w:t>Maribel Jiménez Montero</w:t>
      </w:r>
      <w:r w:rsidR="002628CD">
        <w:rPr>
          <w:rStyle w:val="Refdenotaalpie"/>
        </w:rPr>
        <w:footnoteReference w:id="1"/>
      </w:r>
      <w:r w:rsidR="000E44EC">
        <w:t xml:space="preserve">, </w:t>
      </w:r>
      <w:r w:rsidR="00B10D3F">
        <w:t>Diego Camacho Cornejo</w:t>
      </w:r>
      <w:r w:rsidR="00626D3B">
        <w:rPr>
          <w:rStyle w:val="Refdenotaalpie"/>
        </w:rPr>
        <w:footnoteReference w:id="2"/>
      </w:r>
      <w:r w:rsidR="000E44EC">
        <w:t xml:space="preserve">, </w:t>
      </w:r>
      <w:r w:rsidR="00B10D3F">
        <w:t>Cynthia Salas Garita</w:t>
      </w:r>
      <w:r w:rsidR="003F2E53">
        <w:rPr>
          <w:rStyle w:val="Refdenotaalpie"/>
        </w:rPr>
        <w:footnoteReference w:id="3"/>
      </w:r>
      <w:r w:rsidR="00246D99">
        <w:t xml:space="preserve"> </w:t>
      </w:r>
    </w:p>
    <w:p w14:paraId="00A0B115" w14:textId="77777777" w:rsidR="0005460B" w:rsidRDefault="0005460B" w:rsidP="0005460B"/>
    <w:p w14:paraId="77343BA1" w14:textId="12390588" w:rsidR="00256AEB" w:rsidRPr="00DA777F" w:rsidRDefault="00256AEB">
      <w:pPr>
        <w:rPr>
          <w:b/>
          <w:bCs/>
        </w:rPr>
      </w:pPr>
      <w:r w:rsidRPr="00DA777F">
        <w:rPr>
          <w:b/>
          <w:bCs/>
        </w:rPr>
        <w:t>Introducción</w:t>
      </w:r>
    </w:p>
    <w:p w14:paraId="239E22A3" w14:textId="5E19FC39" w:rsidR="0005460B" w:rsidRDefault="00465AAE">
      <w:r>
        <w:t xml:space="preserve">En Costa Rica, se estima que el costo de </w:t>
      </w:r>
      <w:r w:rsidR="00F4110E">
        <w:t xml:space="preserve">producción </w:t>
      </w:r>
      <w:r w:rsidR="003A7E89">
        <w:t xml:space="preserve">por </w:t>
      </w:r>
      <w:r w:rsidR="009B0AA7">
        <w:t xml:space="preserve">hectárea </w:t>
      </w:r>
      <w:r w:rsidR="00F4110E">
        <w:t>de madera de melina</w:t>
      </w:r>
      <w:r w:rsidR="003B6BA6">
        <w:t xml:space="preserve"> </w:t>
      </w:r>
      <w:r w:rsidR="00E66253">
        <w:t xml:space="preserve">oscila entre </w:t>
      </w:r>
      <w:r w:rsidR="009C3C3C">
        <w:t>USD</w:t>
      </w:r>
      <w:r w:rsidR="009B0AA7">
        <w:t xml:space="preserve"> </w:t>
      </w:r>
      <w:r w:rsidR="009C3C3C">
        <w:t>3</w:t>
      </w:r>
      <w:r w:rsidR="009B0AA7">
        <w:t> </w:t>
      </w:r>
      <w:r w:rsidR="009C3C3C">
        <w:t>165</w:t>
      </w:r>
      <w:r w:rsidR="00B41233">
        <w:t xml:space="preserve"> y</w:t>
      </w:r>
      <w:r w:rsidR="009C3C3C">
        <w:t xml:space="preserve"> USD</w:t>
      </w:r>
      <w:r w:rsidR="00B41233">
        <w:t xml:space="preserve"> </w:t>
      </w:r>
      <w:r w:rsidR="009C3C3C">
        <w:t>3 565</w:t>
      </w:r>
      <w:r w:rsidR="00AB4555">
        <w:rPr>
          <w:rStyle w:val="Refdenotaalpie"/>
        </w:rPr>
        <w:footnoteReference w:id="4"/>
      </w:r>
      <w:r w:rsidR="00B41233">
        <w:t>, dependiendo de la</w:t>
      </w:r>
      <w:r w:rsidR="003104B7">
        <w:t xml:space="preserve"> zona</w:t>
      </w:r>
      <w:r w:rsidR="00B41233">
        <w:t xml:space="preserve"> y el ciclo de producción</w:t>
      </w:r>
      <w:r w:rsidR="00A75818">
        <w:t xml:space="preserve"> siendo los dos primeros años, el período que demanda la mayor inversión.</w:t>
      </w:r>
    </w:p>
    <w:p w14:paraId="061ED03D" w14:textId="0008BC17" w:rsidR="00793CC3" w:rsidRDefault="00473E22" w:rsidP="00ED0CEC">
      <w:r>
        <w:t>Esta situación representa un factor crítico en especial para el pequeño y mediano productor</w:t>
      </w:r>
      <w:r w:rsidR="00FE70AD">
        <w:t xml:space="preserve"> forestal</w:t>
      </w:r>
      <w:r w:rsidR="00015BC3">
        <w:t xml:space="preserve">, quien ante la falta de liquidez </w:t>
      </w:r>
      <w:r w:rsidR="0004036E">
        <w:t>adquiere material genético de baja calidad</w:t>
      </w:r>
      <w:r w:rsidR="00D62852">
        <w:t xml:space="preserve"> o </w:t>
      </w:r>
      <w:r w:rsidR="00B40588">
        <w:t xml:space="preserve">no realiza las prácticas culturales necesarias para obtener </w:t>
      </w:r>
      <w:r w:rsidR="00693803">
        <w:t>los rendimientos requeridos para competir en el mercado.</w:t>
      </w:r>
    </w:p>
    <w:p w14:paraId="260DAC39" w14:textId="2275F6CC" w:rsidR="00262732" w:rsidRDefault="00262732" w:rsidP="00ED0CEC">
      <w:r>
        <w:t>E</w:t>
      </w:r>
      <w:r w:rsidR="003319FE">
        <w:t xml:space="preserve">n este contexto, y </w:t>
      </w:r>
      <w:r w:rsidR="0031689B">
        <w:t xml:space="preserve">como parte de los objetivos de </w:t>
      </w:r>
      <w:r w:rsidR="008151E7">
        <w:t xml:space="preserve">un proyecto </w:t>
      </w:r>
      <w:r>
        <w:t>financiado por la OIMT</w:t>
      </w:r>
      <w:r>
        <w:rPr>
          <w:rStyle w:val="Refdenotaalpie"/>
        </w:rPr>
        <w:footnoteReference w:id="5"/>
      </w:r>
      <w:r>
        <w:t>,</w:t>
      </w:r>
      <w:r w:rsidR="0031689B">
        <w:t xml:space="preserve"> se propuso </w:t>
      </w:r>
      <w:r w:rsidR="004E2299">
        <w:t>impulsar</w:t>
      </w:r>
      <w:r w:rsidR="00735C5A">
        <w:t xml:space="preserve"> u</w:t>
      </w:r>
      <w:r w:rsidR="0031689B" w:rsidRPr="0032442D">
        <w:rPr>
          <w:rFonts w:eastAsia="MS Mincho"/>
          <w:lang w:eastAsia="zh-CN"/>
        </w:rPr>
        <w:t>n sistema de financiamiento innovador para la reforestación comercial con su correspondiente sistema de control</w:t>
      </w:r>
      <w:r w:rsidR="00735C5A">
        <w:rPr>
          <w:rFonts w:eastAsia="MS Mincho"/>
          <w:lang w:eastAsia="zh-CN"/>
        </w:rPr>
        <w:t>.</w:t>
      </w:r>
    </w:p>
    <w:p w14:paraId="6FB660D6" w14:textId="749FF47D" w:rsidR="007C0291" w:rsidRDefault="00ED0CEC" w:rsidP="006F2E1D">
      <w:r>
        <w:t xml:space="preserve">Fue así como </w:t>
      </w:r>
      <w:r w:rsidR="004725B2">
        <w:t xml:space="preserve">inicialmente se realizó un </w:t>
      </w:r>
      <w:r w:rsidR="0029775C">
        <w:t xml:space="preserve">análisis comparativo de la oferta de sistemas de financiamiento </w:t>
      </w:r>
      <w:r w:rsidR="00393964">
        <w:t xml:space="preserve">nacional e internacionalmente.  De este análisis previo se concluyó que las ofertas más novedosas eran las nacionales y por ello se </w:t>
      </w:r>
      <w:r w:rsidR="0029775C">
        <w:t xml:space="preserve">incluyó cinco productos ofrecidos por </w:t>
      </w:r>
      <w:r w:rsidR="00012276">
        <w:t xml:space="preserve">el Fondo Nacional de Financiamiento Forestal, </w:t>
      </w:r>
      <w:r w:rsidR="0029775C">
        <w:t>FONAFIFO</w:t>
      </w:r>
      <w:r w:rsidR="00012276">
        <w:t>,</w:t>
      </w:r>
      <w:r w:rsidR="0029775C">
        <w:t xml:space="preserve"> y diez operadores financieros acreditadas ante la Banca de Desarrollo ubicadas en los cantones de San Carlos, Sarapiquí y Guápiles, cuatro cooperativas y seis bancos</w:t>
      </w:r>
      <w:r w:rsidR="00393964">
        <w:t>, todas en Costa Rica</w:t>
      </w:r>
      <w:r w:rsidR="00C80142">
        <w:t xml:space="preserve">. </w:t>
      </w:r>
      <w:r w:rsidR="00825834">
        <w:t xml:space="preserve">A partir de esta información </w:t>
      </w:r>
      <w:r w:rsidR="000257ED">
        <w:t xml:space="preserve">y en forma conjunta con personas </w:t>
      </w:r>
      <w:r w:rsidR="00016C28">
        <w:t xml:space="preserve">del sector, </w:t>
      </w:r>
      <w:r w:rsidR="00012276">
        <w:t xml:space="preserve">se </w:t>
      </w:r>
      <w:r w:rsidR="00016C28">
        <w:t>diseñaron</w:t>
      </w:r>
      <w:r w:rsidR="00393964">
        <w:t xml:space="preserve"> y propusieron</w:t>
      </w:r>
      <w:r w:rsidR="00016C28">
        <w:t xml:space="preserve"> </w:t>
      </w:r>
      <w:r w:rsidR="0072117E">
        <w:t xml:space="preserve">cuatro </w:t>
      </w:r>
      <w:r w:rsidR="006F2E1D">
        <w:t>mecanismos de financiamiento</w:t>
      </w:r>
      <w:r w:rsidR="007C0291">
        <w:t xml:space="preserve"> </w:t>
      </w:r>
      <w:r w:rsidR="006E46DF">
        <w:t xml:space="preserve">para ser </w:t>
      </w:r>
      <w:r w:rsidR="00016C28">
        <w:t>evaluados</w:t>
      </w:r>
      <w:r w:rsidR="009F6F5E">
        <w:t>.</w:t>
      </w:r>
      <w:r w:rsidR="00393964">
        <w:t xml:space="preserve">  Estos sistemas </w:t>
      </w:r>
      <w:r w:rsidR="00FE39C3">
        <w:t xml:space="preserve">fueron </w:t>
      </w:r>
      <w:r w:rsidR="00393964">
        <w:t>evaluados con un instrumento de validación de propuestas financieras creada en el marco del proyecto</w:t>
      </w:r>
      <w:r w:rsidR="00FE39C3">
        <w:t xml:space="preserve"> ejecutado por el TEC, </w:t>
      </w:r>
      <w:r w:rsidR="00393964">
        <w:t xml:space="preserve">dejó como resultado que el mejor sistema correspondía con un sistema híbrido de crédito con </w:t>
      </w:r>
      <w:r w:rsidR="00FE39C3">
        <w:t>Pago por Servicio Ambiental (</w:t>
      </w:r>
      <w:r w:rsidR="00393964">
        <w:t>PSA</w:t>
      </w:r>
      <w:r w:rsidR="00FE39C3">
        <w:t>)</w:t>
      </w:r>
      <w:r w:rsidR="00393964">
        <w:t>.</w:t>
      </w:r>
    </w:p>
    <w:p w14:paraId="53D0A1C8" w14:textId="7B71B48F" w:rsidR="006F2E1D" w:rsidRDefault="00393964" w:rsidP="006F2E1D">
      <w:r>
        <w:t>Dado que p</w:t>
      </w:r>
      <w:r w:rsidR="006F2E1D">
        <w:t xml:space="preserve">aralelamente, el FONAFIFO, estaba trabajando en un nuevo mecanismo de financiamiento dirigido a pequeños y medianos productores y que compartía los mismos principios que había captado el proyecto en el proceso de </w:t>
      </w:r>
      <w:r w:rsidR="00305F24">
        <w:t xml:space="preserve">diseño de mecanismos financieros, </w:t>
      </w:r>
      <w:r>
        <w:t xml:space="preserve">dónde se combinaba crédito y PSA se </w:t>
      </w:r>
      <w:r w:rsidR="00305F24">
        <w:t xml:space="preserve">optó por </w:t>
      </w:r>
      <w:r w:rsidR="007D6C1F">
        <w:t xml:space="preserve">evaluar </w:t>
      </w:r>
      <w:r>
        <w:t xml:space="preserve">este diseño como una </w:t>
      </w:r>
      <w:r>
        <w:lastRenderedPageBreak/>
        <w:t xml:space="preserve">propuesta de financiamiento forestal nueva </w:t>
      </w:r>
      <w:r w:rsidR="00BA37AF">
        <w:t xml:space="preserve"> </w:t>
      </w:r>
      <w:r>
        <w:t xml:space="preserve">esta propuesta del FONAFIFO es </w:t>
      </w:r>
      <w:r w:rsidR="00BA37AF">
        <w:t>llamad</w:t>
      </w:r>
      <w:r>
        <w:t>a</w:t>
      </w:r>
      <w:r w:rsidR="00BA37AF">
        <w:t xml:space="preserve"> SIPMABE </w:t>
      </w:r>
      <w:r w:rsidR="002D3146">
        <w:t xml:space="preserve">Crédito </w:t>
      </w:r>
      <w:r w:rsidR="00A21C34">
        <w:t xml:space="preserve">y </w:t>
      </w:r>
      <w:r>
        <w:t xml:space="preserve">está combinada con </w:t>
      </w:r>
      <w:r w:rsidR="00A21C34">
        <w:t xml:space="preserve">la modalidad </w:t>
      </w:r>
      <w:r w:rsidR="002D3146">
        <w:t>pago por servicios ambientales (</w:t>
      </w:r>
      <w:r w:rsidR="00A21C34">
        <w:t>PSA</w:t>
      </w:r>
      <w:r w:rsidR="002D3146">
        <w:t>)</w:t>
      </w:r>
      <w:r w:rsidR="00FE39C3">
        <w:t xml:space="preserve">, es último un sistema de financiamiento no rembolsable </w:t>
      </w:r>
      <w:r w:rsidR="00A21C34">
        <w:t>ya existente en el mercado</w:t>
      </w:r>
      <w:r w:rsidR="007349F9">
        <w:t xml:space="preserve"> y que había sido considerada en la propuesta original.</w:t>
      </w:r>
    </w:p>
    <w:p w14:paraId="3E6DC051" w14:textId="112CEB4A" w:rsidR="000F240C" w:rsidRDefault="007349F9">
      <w:pPr>
        <w:rPr>
          <w:b/>
          <w:bCs/>
        </w:rPr>
      </w:pPr>
      <w:r>
        <w:rPr>
          <w:b/>
          <w:bCs/>
        </w:rPr>
        <w:t>I</w:t>
      </w:r>
      <w:r w:rsidR="0005460B">
        <w:rPr>
          <w:b/>
          <w:bCs/>
        </w:rPr>
        <w:t>nstrumento de evaluación</w:t>
      </w:r>
      <w:r w:rsidR="00FE39C3">
        <w:rPr>
          <w:b/>
          <w:bCs/>
        </w:rPr>
        <w:t xml:space="preserve"> y validación de propuestas de financiamiento</w:t>
      </w:r>
    </w:p>
    <w:p w14:paraId="12A71BBC" w14:textId="113A1709" w:rsidR="000A7169" w:rsidRDefault="0003530D" w:rsidP="00F464C1">
      <w:r>
        <w:t xml:space="preserve">Para la evaluación de los sistemas de financiero forestal existentes </w:t>
      </w:r>
      <w:r w:rsidR="007349F9">
        <w:t>indicados</w:t>
      </w:r>
      <w:r>
        <w:t>, s</w:t>
      </w:r>
      <w:r w:rsidR="00F464C1">
        <w:t>e diseñó un instrumento</w:t>
      </w:r>
      <w:r w:rsidR="004A1938">
        <w:t xml:space="preserve"> basado en </w:t>
      </w:r>
      <w:r w:rsidR="005E5B9F">
        <w:t xml:space="preserve">seis criterios de viabilidad: técnica, financiera, legal, administrativa-operativa, cultural y ambiental con </w:t>
      </w:r>
      <w:r w:rsidR="003371BD">
        <w:t xml:space="preserve">sus respectivos atributos, </w:t>
      </w:r>
      <w:r w:rsidR="004C128B">
        <w:t>ponderaci</w:t>
      </w:r>
      <w:r w:rsidR="003371BD">
        <w:t xml:space="preserve">ón </w:t>
      </w:r>
      <w:r w:rsidR="00D47BF2">
        <w:t>y escala de valoración.</w:t>
      </w:r>
    </w:p>
    <w:p w14:paraId="2569E9E7" w14:textId="7B56B742" w:rsidR="00796B91" w:rsidRDefault="00796B91" w:rsidP="00F464C1">
      <w:r>
        <w:t xml:space="preserve">El instrumento fue validado </w:t>
      </w:r>
      <w:r w:rsidR="00A20D2F">
        <w:t xml:space="preserve">por juicio de experto </w:t>
      </w:r>
      <w:r>
        <w:t xml:space="preserve">con </w:t>
      </w:r>
      <w:r w:rsidR="002A1DE9">
        <w:t xml:space="preserve">ocho </w:t>
      </w:r>
      <w:r w:rsidR="00566AD6">
        <w:t>personas</w:t>
      </w:r>
      <w:r w:rsidR="00F74E37">
        <w:t xml:space="preserve"> </w:t>
      </w:r>
      <w:r w:rsidR="003E0562">
        <w:t xml:space="preserve">directamente </w:t>
      </w:r>
      <w:r w:rsidR="00566AD6" w:rsidRPr="00566AD6">
        <w:t xml:space="preserve">involucrados </w:t>
      </w:r>
      <w:r w:rsidR="003E0562">
        <w:t>con s</w:t>
      </w:r>
      <w:r w:rsidR="00566AD6" w:rsidRPr="00566AD6">
        <w:t>istemas de financiamiento tanto a nivel público como privado</w:t>
      </w:r>
      <w:r w:rsidR="003E0562">
        <w:t xml:space="preserve">. La </w:t>
      </w:r>
      <w:r w:rsidR="00566AD6" w:rsidRPr="00566AD6">
        <w:t xml:space="preserve">validación se realizó mediante entrevista individual </w:t>
      </w:r>
      <w:r w:rsidR="003E0562">
        <w:t>presencial</w:t>
      </w:r>
      <w:r w:rsidR="0075590A">
        <w:t xml:space="preserve">; se sometió a consideración de las personas evaluadoras </w:t>
      </w:r>
      <w:r w:rsidR="007D1375">
        <w:t xml:space="preserve">los componentes y sus atributos, la ponderación y la </w:t>
      </w:r>
      <w:r w:rsidR="0040087C">
        <w:t xml:space="preserve">escala de valoración. </w:t>
      </w:r>
      <w:r w:rsidR="00FE39C3">
        <w:t>Luego de construido el instrumento fue llevado a validación en grupos focales donde participaron personas diferentes a las consultadas en la construcción del instrumento inicial.  Una vez validada la aplicabilidad del instrumento se procedió a valorar los sistemas de financiamiento propuestos.</w:t>
      </w:r>
    </w:p>
    <w:p w14:paraId="505098D2" w14:textId="01EFE4BB" w:rsidR="00BC6CD4" w:rsidRDefault="00BC6CD4" w:rsidP="00F464C1">
      <w:r>
        <w:t>L</w:t>
      </w:r>
      <w:r w:rsidR="00AF4ABA">
        <w:t xml:space="preserve">a información fue tabulada y analizada para determinar los </w:t>
      </w:r>
      <w:r w:rsidR="006B5C02">
        <w:t>cambios</w:t>
      </w:r>
      <w:r w:rsidR="00AF4ABA">
        <w:t xml:space="preserve"> propuestos con mayor frecuencia</w:t>
      </w:r>
      <w:r w:rsidR="006B5C02">
        <w:t xml:space="preserve">, </w:t>
      </w:r>
      <w:r w:rsidR="00593818">
        <w:t>resultando la viabilidad técnica</w:t>
      </w:r>
      <w:r w:rsidR="009446AA">
        <w:t xml:space="preserve"> y financiera</w:t>
      </w:r>
      <w:r w:rsidR="00F1223D">
        <w:t xml:space="preserve"> el 50% del peso en la valoración del sistema financiero </w:t>
      </w:r>
      <w:r w:rsidR="00553ED4">
        <w:t>de acuerdo con lo</w:t>
      </w:r>
      <w:r w:rsidR="00FE39C3">
        <w:t>s</w:t>
      </w:r>
      <w:r w:rsidR="00553ED4">
        <w:t xml:space="preserve"> expertos</w:t>
      </w:r>
      <w:r w:rsidR="007C3ADC">
        <w:t>, seguido de la viabilidad legal y administrativo y operativo que correspondieron al 40% de la ponderación.</w:t>
      </w:r>
    </w:p>
    <w:p w14:paraId="370177BD" w14:textId="3B5FF6BA" w:rsidR="00BF56B0" w:rsidRDefault="00BF56B0" w:rsidP="00F464C1">
      <w:r>
        <w:t>Tabla 1. Ponderación de cada componente</w:t>
      </w:r>
    </w:p>
    <w:tbl>
      <w:tblPr>
        <w:tblStyle w:val="Tabladelista3-nfasis1"/>
        <w:tblW w:w="2808" w:type="pct"/>
        <w:tblLook w:val="0420" w:firstRow="1" w:lastRow="0" w:firstColumn="0" w:lastColumn="0" w:noHBand="0" w:noVBand="1"/>
      </w:tblPr>
      <w:tblGrid>
        <w:gridCol w:w="2973"/>
        <w:gridCol w:w="1985"/>
      </w:tblGrid>
      <w:tr w:rsidR="001B4A26" w:rsidRPr="001B4A26" w14:paraId="5EFCFF06" w14:textId="77777777" w:rsidTr="0070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2998" w:type="pct"/>
            <w:hideMark/>
          </w:tcPr>
          <w:p w14:paraId="7DC29B41" w14:textId="77777777" w:rsidR="001B4A26" w:rsidRPr="001B4A26" w:rsidRDefault="001B4A26" w:rsidP="00620869">
            <w:pPr>
              <w:tabs>
                <w:tab w:val="num" w:pos="720"/>
              </w:tabs>
            </w:pPr>
            <w:r w:rsidRPr="001B4A26">
              <w:t xml:space="preserve">Componente </w:t>
            </w:r>
          </w:p>
        </w:tc>
        <w:tc>
          <w:tcPr>
            <w:tcW w:w="2002" w:type="pct"/>
            <w:hideMark/>
          </w:tcPr>
          <w:p w14:paraId="2DCAFA9C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Ponderación (%)</w:t>
            </w:r>
          </w:p>
        </w:tc>
      </w:tr>
      <w:tr w:rsidR="001B4A26" w:rsidRPr="001B4A26" w14:paraId="05356DAA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tcW w:w="2998" w:type="pct"/>
            <w:hideMark/>
          </w:tcPr>
          <w:p w14:paraId="2AD0668B" w14:textId="77777777" w:rsidR="001B4A26" w:rsidRPr="001B4A26" w:rsidRDefault="001B4A26" w:rsidP="004D3C93">
            <w:pPr>
              <w:ind w:left="360"/>
            </w:pPr>
            <w:r w:rsidRPr="001B4A26">
              <w:t xml:space="preserve">Viabilidad técnica </w:t>
            </w:r>
          </w:p>
        </w:tc>
        <w:tc>
          <w:tcPr>
            <w:tcW w:w="2002" w:type="pct"/>
            <w:hideMark/>
          </w:tcPr>
          <w:p w14:paraId="17FAA26A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25</w:t>
            </w:r>
          </w:p>
        </w:tc>
      </w:tr>
      <w:tr w:rsidR="001B4A26" w:rsidRPr="001B4A26" w14:paraId="662B9562" w14:textId="77777777" w:rsidTr="0070283C">
        <w:trPr>
          <w:trHeight w:val="393"/>
        </w:trPr>
        <w:tc>
          <w:tcPr>
            <w:tcW w:w="2998" w:type="pct"/>
            <w:hideMark/>
          </w:tcPr>
          <w:p w14:paraId="6DBCCC3A" w14:textId="77777777" w:rsidR="001B4A26" w:rsidRPr="001B4A26" w:rsidRDefault="001B4A26" w:rsidP="004D3C93">
            <w:pPr>
              <w:ind w:left="360"/>
            </w:pPr>
            <w:r w:rsidRPr="001B4A26">
              <w:t xml:space="preserve">Viabilidad financiera </w:t>
            </w:r>
          </w:p>
        </w:tc>
        <w:tc>
          <w:tcPr>
            <w:tcW w:w="2002" w:type="pct"/>
            <w:hideMark/>
          </w:tcPr>
          <w:p w14:paraId="7EF3B31F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25</w:t>
            </w:r>
          </w:p>
        </w:tc>
      </w:tr>
      <w:tr w:rsidR="001B4A26" w:rsidRPr="001B4A26" w14:paraId="244F7D5D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2998" w:type="pct"/>
            <w:hideMark/>
          </w:tcPr>
          <w:p w14:paraId="310ECAD0" w14:textId="77777777" w:rsidR="001B4A26" w:rsidRPr="001B4A26" w:rsidRDefault="001B4A26" w:rsidP="004D3C93">
            <w:pPr>
              <w:ind w:left="360"/>
            </w:pPr>
            <w:r w:rsidRPr="001B4A26">
              <w:t>Viabilidad legal</w:t>
            </w:r>
          </w:p>
        </w:tc>
        <w:tc>
          <w:tcPr>
            <w:tcW w:w="2002" w:type="pct"/>
            <w:hideMark/>
          </w:tcPr>
          <w:p w14:paraId="1F874ADB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20</w:t>
            </w:r>
          </w:p>
        </w:tc>
      </w:tr>
      <w:tr w:rsidR="001B4A26" w:rsidRPr="001B4A26" w14:paraId="4379A333" w14:textId="77777777" w:rsidTr="0070283C">
        <w:trPr>
          <w:trHeight w:val="390"/>
        </w:trPr>
        <w:tc>
          <w:tcPr>
            <w:tcW w:w="2998" w:type="pct"/>
            <w:hideMark/>
          </w:tcPr>
          <w:p w14:paraId="18892F68" w14:textId="77777777" w:rsidR="001B4A26" w:rsidRPr="001B4A26" w:rsidRDefault="001B4A26" w:rsidP="004D3C93">
            <w:pPr>
              <w:ind w:left="360"/>
            </w:pPr>
            <w:r w:rsidRPr="001B4A26">
              <w:t>Viabilidad administrativa-operativa</w:t>
            </w:r>
          </w:p>
        </w:tc>
        <w:tc>
          <w:tcPr>
            <w:tcW w:w="2002" w:type="pct"/>
            <w:hideMark/>
          </w:tcPr>
          <w:p w14:paraId="61EC5B5B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20</w:t>
            </w:r>
          </w:p>
        </w:tc>
      </w:tr>
      <w:tr w:rsidR="001B4A26" w:rsidRPr="001B4A26" w14:paraId="35201627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998" w:type="pct"/>
            <w:hideMark/>
          </w:tcPr>
          <w:p w14:paraId="2C76C002" w14:textId="77777777" w:rsidR="001B4A26" w:rsidRPr="001B4A26" w:rsidRDefault="001B4A26" w:rsidP="004D3C93">
            <w:pPr>
              <w:ind w:left="360"/>
            </w:pPr>
            <w:r w:rsidRPr="001B4A26">
              <w:t xml:space="preserve">Viabilidad cultural </w:t>
            </w:r>
          </w:p>
        </w:tc>
        <w:tc>
          <w:tcPr>
            <w:tcW w:w="2002" w:type="pct"/>
            <w:hideMark/>
          </w:tcPr>
          <w:p w14:paraId="62B0D674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6</w:t>
            </w:r>
          </w:p>
        </w:tc>
      </w:tr>
      <w:tr w:rsidR="001B4A26" w:rsidRPr="001B4A26" w14:paraId="011001BF" w14:textId="77777777" w:rsidTr="0070283C">
        <w:trPr>
          <w:trHeight w:val="517"/>
        </w:trPr>
        <w:tc>
          <w:tcPr>
            <w:tcW w:w="2998" w:type="pct"/>
            <w:hideMark/>
          </w:tcPr>
          <w:p w14:paraId="2AFEB33B" w14:textId="77777777" w:rsidR="001B4A26" w:rsidRPr="001B4A26" w:rsidRDefault="001B4A26" w:rsidP="004D3C93">
            <w:pPr>
              <w:ind w:left="360"/>
            </w:pPr>
            <w:r w:rsidRPr="001B4A26">
              <w:t>Viabilidad ambiental</w:t>
            </w:r>
          </w:p>
        </w:tc>
        <w:tc>
          <w:tcPr>
            <w:tcW w:w="2002" w:type="pct"/>
            <w:hideMark/>
          </w:tcPr>
          <w:p w14:paraId="082EA8D7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4</w:t>
            </w:r>
          </w:p>
        </w:tc>
      </w:tr>
      <w:tr w:rsidR="001B4A26" w:rsidRPr="001B4A26" w14:paraId="00EFA74D" w14:textId="77777777" w:rsidTr="0070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998" w:type="pct"/>
            <w:hideMark/>
          </w:tcPr>
          <w:p w14:paraId="5E1FB45B" w14:textId="77777777" w:rsidR="001B4A26" w:rsidRPr="001B4A26" w:rsidRDefault="001B4A26" w:rsidP="004D3C93">
            <w:pPr>
              <w:ind w:left="360"/>
            </w:pPr>
            <w:r w:rsidRPr="001B4A26">
              <w:t>Total</w:t>
            </w:r>
          </w:p>
        </w:tc>
        <w:tc>
          <w:tcPr>
            <w:tcW w:w="2002" w:type="pct"/>
            <w:hideMark/>
          </w:tcPr>
          <w:p w14:paraId="0156FB34" w14:textId="77777777" w:rsidR="001B4A26" w:rsidRPr="001B4A26" w:rsidRDefault="001B4A26" w:rsidP="00CA3333">
            <w:pPr>
              <w:ind w:left="360"/>
              <w:jc w:val="center"/>
            </w:pPr>
            <w:r w:rsidRPr="001B4A26">
              <w:t>100</w:t>
            </w:r>
          </w:p>
        </w:tc>
      </w:tr>
    </w:tbl>
    <w:p w14:paraId="4FB00484" w14:textId="77777777" w:rsidR="000A7169" w:rsidRDefault="000A7169" w:rsidP="001B4A26">
      <w:pPr>
        <w:ind w:left="360"/>
      </w:pPr>
    </w:p>
    <w:p w14:paraId="616506CD" w14:textId="59095B9B" w:rsidR="001B4A26" w:rsidRPr="000A7169" w:rsidRDefault="00026AAD" w:rsidP="00EA0837">
      <w:r>
        <w:t>Tabla 2. Peso y escala de valoración de los atributos de viabilidad té</w:t>
      </w:r>
      <w:r w:rsidR="00EA0837">
        <w:t>c</w:t>
      </w:r>
      <w:r>
        <w:t>nica</w:t>
      </w:r>
    </w:p>
    <w:tbl>
      <w:tblPr>
        <w:tblStyle w:val="Tablaconcuadrcula4-nfasis1"/>
        <w:tblW w:w="3209" w:type="pct"/>
        <w:tblLook w:val="0620" w:firstRow="1" w:lastRow="0" w:firstColumn="0" w:lastColumn="0" w:noHBand="1" w:noVBand="1"/>
      </w:tblPr>
      <w:tblGrid>
        <w:gridCol w:w="2689"/>
        <w:gridCol w:w="708"/>
        <w:gridCol w:w="2269"/>
      </w:tblGrid>
      <w:tr w:rsidR="00E24CAF" w:rsidRPr="00E24CAF" w14:paraId="19022501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2373" w:type="pct"/>
            <w:hideMark/>
          </w:tcPr>
          <w:p w14:paraId="0B071C2C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Viabilidad Técnica</w:t>
            </w:r>
          </w:p>
        </w:tc>
        <w:tc>
          <w:tcPr>
            <w:tcW w:w="625" w:type="pct"/>
            <w:hideMark/>
          </w:tcPr>
          <w:p w14:paraId="2AD08BB1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Peso</w:t>
            </w:r>
          </w:p>
        </w:tc>
        <w:tc>
          <w:tcPr>
            <w:tcW w:w="2002" w:type="pct"/>
            <w:hideMark/>
          </w:tcPr>
          <w:p w14:paraId="1D8BD8A0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Escala</w:t>
            </w:r>
          </w:p>
        </w:tc>
      </w:tr>
      <w:tr w:rsidR="00E24CAF" w:rsidRPr="00E24CAF" w14:paraId="236F537A" w14:textId="77777777" w:rsidTr="00620869">
        <w:trPr>
          <w:trHeight w:val="214"/>
        </w:trPr>
        <w:tc>
          <w:tcPr>
            <w:tcW w:w="2373" w:type="pct"/>
            <w:vMerge w:val="restart"/>
            <w:hideMark/>
          </w:tcPr>
          <w:p w14:paraId="025257A8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 xml:space="preserve">Límites mínimos al tamaño del proyecto </w:t>
            </w:r>
          </w:p>
        </w:tc>
        <w:tc>
          <w:tcPr>
            <w:tcW w:w="625" w:type="pct"/>
            <w:vMerge w:val="restart"/>
            <w:hideMark/>
          </w:tcPr>
          <w:p w14:paraId="2BF975AA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5</w:t>
            </w:r>
          </w:p>
        </w:tc>
        <w:tc>
          <w:tcPr>
            <w:tcW w:w="2002" w:type="pct"/>
            <w:hideMark/>
          </w:tcPr>
          <w:p w14:paraId="1C23C5FE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1 ha=1</w:t>
            </w:r>
          </w:p>
        </w:tc>
      </w:tr>
      <w:tr w:rsidR="00E24CAF" w:rsidRPr="00E24CAF" w14:paraId="60A37DAC" w14:textId="77777777" w:rsidTr="00620869">
        <w:trPr>
          <w:trHeight w:val="276"/>
        </w:trPr>
        <w:tc>
          <w:tcPr>
            <w:tcW w:w="2373" w:type="pct"/>
            <w:vMerge/>
            <w:hideMark/>
          </w:tcPr>
          <w:p w14:paraId="00E23DA0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0262CF7D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23BE8FE8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5 ha=3</w:t>
            </w:r>
          </w:p>
        </w:tc>
      </w:tr>
      <w:tr w:rsidR="00E24CAF" w:rsidRPr="00E24CAF" w14:paraId="0CF54E4D" w14:textId="77777777" w:rsidTr="00620869">
        <w:trPr>
          <w:trHeight w:val="280"/>
        </w:trPr>
        <w:tc>
          <w:tcPr>
            <w:tcW w:w="2373" w:type="pct"/>
            <w:vMerge/>
            <w:hideMark/>
          </w:tcPr>
          <w:p w14:paraId="7B191E7D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0DB39241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3CFE905F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20 ha=5</w:t>
            </w:r>
          </w:p>
        </w:tc>
      </w:tr>
      <w:tr w:rsidR="00E24CAF" w:rsidRPr="00E24CAF" w14:paraId="096D06BB" w14:textId="77777777" w:rsidTr="00620869">
        <w:trPr>
          <w:trHeight w:val="226"/>
        </w:trPr>
        <w:tc>
          <w:tcPr>
            <w:tcW w:w="2373" w:type="pct"/>
            <w:vMerge w:val="restart"/>
            <w:hideMark/>
          </w:tcPr>
          <w:p w14:paraId="39C9A5E2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 xml:space="preserve">Distancia finca industria </w:t>
            </w:r>
          </w:p>
        </w:tc>
        <w:tc>
          <w:tcPr>
            <w:tcW w:w="625" w:type="pct"/>
            <w:vMerge w:val="restart"/>
            <w:hideMark/>
          </w:tcPr>
          <w:p w14:paraId="07ED94A4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5</w:t>
            </w:r>
          </w:p>
        </w:tc>
        <w:tc>
          <w:tcPr>
            <w:tcW w:w="2002" w:type="pct"/>
            <w:hideMark/>
          </w:tcPr>
          <w:p w14:paraId="406BFA45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Menos de 50 km=5</w:t>
            </w:r>
          </w:p>
        </w:tc>
      </w:tr>
      <w:tr w:rsidR="00E24CAF" w:rsidRPr="00E24CAF" w14:paraId="1189EDED" w14:textId="77777777" w:rsidTr="00620869">
        <w:trPr>
          <w:trHeight w:val="289"/>
        </w:trPr>
        <w:tc>
          <w:tcPr>
            <w:tcW w:w="2373" w:type="pct"/>
            <w:vMerge/>
            <w:hideMark/>
          </w:tcPr>
          <w:p w14:paraId="36A7E95C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62B03574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1CFF847A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Entre 50 y 100 km=3</w:t>
            </w:r>
          </w:p>
        </w:tc>
      </w:tr>
      <w:tr w:rsidR="00E24CAF" w:rsidRPr="00E24CAF" w14:paraId="4B372005" w14:textId="77777777" w:rsidTr="00620869">
        <w:trPr>
          <w:trHeight w:val="280"/>
        </w:trPr>
        <w:tc>
          <w:tcPr>
            <w:tcW w:w="2373" w:type="pct"/>
            <w:vMerge/>
            <w:hideMark/>
          </w:tcPr>
          <w:p w14:paraId="73795A03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117F18C8" w14:textId="77777777" w:rsidR="00E24CAF" w:rsidRPr="00E24CAF" w:rsidRDefault="00E24CAF" w:rsidP="00EC7D50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53E67584" w14:textId="77777777" w:rsidR="00E24CAF" w:rsidRPr="00E24CAF" w:rsidRDefault="00E24CAF" w:rsidP="00EC7D50">
            <w:pPr>
              <w:tabs>
                <w:tab w:val="num" w:pos="720"/>
              </w:tabs>
            </w:pPr>
            <w:r w:rsidRPr="00E24CAF">
              <w:t>Más de 100km=0</w:t>
            </w:r>
          </w:p>
        </w:tc>
      </w:tr>
      <w:tr w:rsidR="00E24CAF" w:rsidRPr="00E24CAF" w14:paraId="08F842C7" w14:textId="77777777" w:rsidTr="00620869">
        <w:trPr>
          <w:trHeight w:val="270"/>
        </w:trPr>
        <w:tc>
          <w:tcPr>
            <w:tcW w:w="2373" w:type="pct"/>
            <w:vMerge/>
            <w:hideMark/>
          </w:tcPr>
          <w:p w14:paraId="1CD43C35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15166F4F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18B8EA11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 indica=0</w:t>
            </w:r>
          </w:p>
        </w:tc>
      </w:tr>
      <w:tr w:rsidR="00E24CAF" w:rsidRPr="00E24CAF" w14:paraId="6938B792" w14:textId="77777777" w:rsidTr="00620869">
        <w:trPr>
          <w:trHeight w:val="274"/>
        </w:trPr>
        <w:tc>
          <w:tcPr>
            <w:tcW w:w="2373" w:type="pct"/>
            <w:vMerge w:val="restart"/>
            <w:hideMark/>
          </w:tcPr>
          <w:p w14:paraId="37269367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 xml:space="preserve">Sistema dirigido a un paquete tecnológico para ciertas especies asociado a productos rentables </w:t>
            </w:r>
          </w:p>
        </w:tc>
        <w:tc>
          <w:tcPr>
            <w:tcW w:w="625" w:type="pct"/>
            <w:vMerge w:val="restart"/>
            <w:hideMark/>
          </w:tcPr>
          <w:p w14:paraId="5DF1985A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6</w:t>
            </w:r>
          </w:p>
        </w:tc>
        <w:tc>
          <w:tcPr>
            <w:tcW w:w="2002" w:type="pct"/>
            <w:hideMark/>
          </w:tcPr>
          <w:p w14:paraId="186EAEE8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Sí=6</w:t>
            </w:r>
          </w:p>
        </w:tc>
      </w:tr>
      <w:tr w:rsidR="00E24CAF" w:rsidRPr="00E24CAF" w14:paraId="03116D6C" w14:textId="77777777" w:rsidTr="00620869">
        <w:trPr>
          <w:trHeight w:val="265"/>
        </w:trPr>
        <w:tc>
          <w:tcPr>
            <w:tcW w:w="2373" w:type="pct"/>
            <w:vMerge/>
            <w:hideMark/>
          </w:tcPr>
          <w:p w14:paraId="3FE74C35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276363DF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2AFB3AF4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No=0</w:t>
            </w:r>
          </w:p>
        </w:tc>
      </w:tr>
      <w:tr w:rsidR="00E24CAF" w:rsidRPr="00E24CAF" w14:paraId="4EB9CB3E" w14:textId="77777777" w:rsidTr="00620869">
        <w:trPr>
          <w:trHeight w:val="240"/>
        </w:trPr>
        <w:tc>
          <w:tcPr>
            <w:tcW w:w="2373" w:type="pct"/>
            <w:vMerge w:val="restart"/>
            <w:hideMark/>
          </w:tcPr>
          <w:p w14:paraId="4E9F8659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 xml:space="preserve">El sistema define especies prioritarias </w:t>
            </w:r>
          </w:p>
        </w:tc>
        <w:tc>
          <w:tcPr>
            <w:tcW w:w="625" w:type="pct"/>
            <w:vMerge w:val="restart"/>
            <w:hideMark/>
          </w:tcPr>
          <w:p w14:paraId="58F1F46D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4</w:t>
            </w:r>
          </w:p>
        </w:tc>
        <w:tc>
          <w:tcPr>
            <w:tcW w:w="2002" w:type="pct"/>
            <w:hideMark/>
          </w:tcPr>
          <w:p w14:paraId="553AE040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Sí=4</w:t>
            </w:r>
          </w:p>
        </w:tc>
      </w:tr>
      <w:tr w:rsidR="00E24CAF" w:rsidRPr="00E24CAF" w14:paraId="7A86A4B1" w14:textId="77777777" w:rsidTr="00620869">
        <w:trPr>
          <w:trHeight w:val="269"/>
        </w:trPr>
        <w:tc>
          <w:tcPr>
            <w:tcW w:w="2373" w:type="pct"/>
            <w:vMerge/>
            <w:hideMark/>
          </w:tcPr>
          <w:p w14:paraId="48B6FB1D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2ECC6F76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73DCD93B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No=0</w:t>
            </w:r>
          </w:p>
        </w:tc>
      </w:tr>
      <w:tr w:rsidR="00E24CAF" w:rsidRPr="00E24CAF" w14:paraId="389661C1" w14:textId="77777777" w:rsidTr="00620869">
        <w:trPr>
          <w:trHeight w:val="269"/>
        </w:trPr>
        <w:tc>
          <w:tcPr>
            <w:tcW w:w="2373" w:type="pct"/>
            <w:vMerge w:val="restart"/>
            <w:hideMark/>
          </w:tcPr>
          <w:p w14:paraId="1A6908AC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 xml:space="preserve">El sistema define requisitos de calidad de sitio </w:t>
            </w:r>
          </w:p>
        </w:tc>
        <w:tc>
          <w:tcPr>
            <w:tcW w:w="625" w:type="pct"/>
            <w:vMerge w:val="restart"/>
            <w:hideMark/>
          </w:tcPr>
          <w:p w14:paraId="4A7E7764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5</w:t>
            </w:r>
          </w:p>
        </w:tc>
        <w:tc>
          <w:tcPr>
            <w:tcW w:w="2002" w:type="pct"/>
            <w:hideMark/>
          </w:tcPr>
          <w:p w14:paraId="70B7070D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Sí=5</w:t>
            </w:r>
          </w:p>
        </w:tc>
      </w:tr>
      <w:tr w:rsidR="00E24CAF" w:rsidRPr="00E24CAF" w14:paraId="13113577" w14:textId="77777777" w:rsidTr="00620869">
        <w:trPr>
          <w:trHeight w:val="273"/>
        </w:trPr>
        <w:tc>
          <w:tcPr>
            <w:tcW w:w="2373" w:type="pct"/>
            <w:vMerge/>
            <w:hideMark/>
          </w:tcPr>
          <w:p w14:paraId="7C30EF78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625" w:type="pct"/>
            <w:vMerge/>
            <w:hideMark/>
          </w:tcPr>
          <w:p w14:paraId="7C5FBDEF" w14:textId="77777777" w:rsidR="00E24CAF" w:rsidRPr="00E24CAF" w:rsidRDefault="00E24CAF" w:rsidP="00E24CAF">
            <w:pPr>
              <w:tabs>
                <w:tab w:val="num" w:pos="720"/>
              </w:tabs>
            </w:pPr>
          </w:p>
        </w:tc>
        <w:tc>
          <w:tcPr>
            <w:tcW w:w="2002" w:type="pct"/>
            <w:hideMark/>
          </w:tcPr>
          <w:p w14:paraId="00067709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No=0</w:t>
            </w:r>
          </w:p>
        </w:tc>
      </w:tr>
      <w:tr w:rsidR="00E24CAF" w:rsidRPr="00E24CAF" w14:paraId="15015727" w14:textId="77777777" w:rsidTr="00620869">
        <w:trPr>
          <w:trHeight w:val="321"/>
        </w:trPr>
        <w:tc>
          <w:tcPr>
            <w:tcW w:w="2373" w:type="pct"/>
            <w:hideMark/>
          </w:tcPr>
          <w:p w14:paraId="163CDB9E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Total</w:t>
            </w:r>
          </w:p>
        </w:tc>
        <w:tc>
          <w:tcPr>
            <w:tcW w:w="625" w:type="pct"/>
            <w:hideMark/>
          </w:tcPr>
          <w:p w14:paraId="37C2052C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25</w:t>
            </w:r>
          </w:p>
        </w:tc>
        <w:tc>
          <w:tcPr>
            <w:tcW w:w="2002" w:type="pct"/>
            <w:hideMark/>
          </w:tcPr>
          <w:p w14:paraId="294D494A" w14:textId="77777777" w:rsidR="00E24CAF" w:rsidRPr="00E24CAF" w:rsidRDefault="00E24CAF" w:rsidP="00E24CAF">
            <w:pPr>
              <w:tabs>
                <w:tab w:val="num" w:pos="720"/>
              </w:tabs>
            </w:pPr>
            <w:r w:rsidRPr="00E24CAF">
              <w:t> </w:t>
            </w:r>
          </w:p>
        </w:tc>
      </w:tr>
    </w:tbl>
    <w:p w14:paraId="0BDAF0BD" w14:textId="77777777" w:rsidR="000A7169" w:rsidRDefault="000A7169" w:rsidP="0032441E">
      <w:pPr>
        <w:tabs>
          <w:tab w:val="num" w:pos="720"/>
        </w:tabs>
      </w:pPr>
    </w:p>
    <w:p w14:paraId="68D8D5AA" w14:textId="2A751DBE" w:rsidR="00EA0837" w:rsidRPr="000A7169" w:rsidRDefault="00EA0837" w:rsidP="00EA0837">
      <w:r>
        <w:t>Tabla 3. Peso y escala de valoración de los atributos de viabilidad financiera</w:t>
      </w:r>
    </w:p>
    <w:tbl>
      <w:tblPr>
        <w:tblStyle w:val="Tablaconcuadrcula4-nfasis1"/>
        <w:tblW w:w="4012" w:type="pct"/>
        <w:tblLook w:val="0620" w:firstRow="1" w:lastRow="0" w:firstColumn="0" w:lastColumn="0" w:noHBand="1" w:noVBand="1"/>
      </w:tblPr>
      <w:tblGrid>
        <w:gridCol w:w="2689"/>
        <w:gridCol w:w="708"/>
        <w:gridCol w:w="3687"/>
      </w:tblGrid>
      <w:tr w:rsidR="00615271" w:rsidRPr="00615271" w14:paraId="2E9BF369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898" w:type="pct"/>
            <w:hideMark/>
          </w:tcPr>
          <w:p w14:paraId="35D5AEDB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Viabilidad Financiera </w:t>
            </w:r>
          </w:p>
        </w:tc>
        <w:tc>
          <w:tcPr>
            <w:tcW w:w="500" w:type="pct"/>
            <w:hideMark/>
          </w:tcPr>
          <w:p w14:paraId="61A1D82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Peso</w:t>
            </w:r>
          </w:p>
        </w:tc>
        <w:tc>
          <w:tcPr>
            <w:tcW w:w="2602" w:type="pct"/>
            <w:hideMark/>
          </w:tcPr>
          <w:p w14:paraId="18EF47A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Escala</w:t>
            </w:r>
          </w:p>
        </w:tc>
      </w:tr>
      <w:tr w:rsidR="00615271" w:rsidRPr="00615271" w14:paraId="7ACA9834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2FD5C9A7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El sistema solicita indicadores financieros y flujo de caja ligado al paquete tecnológico </w:t>
            </w:r>
          </w:p>
        </w:tc>
        <w:tc>
          <w:tcPr>
            <w:tcW w:w="500" w:type="pct"/>
            <w:vMerge w:val="restart"/>
            <w:hideMark/>
          </w:tcPr>
          <w:p w14:paraId="37A5E296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5</w:t>
            </w:r>
          </w:p>
        </w:tc>
        <w:tc>
          <w:tcPr>
            <w:tcW w:w="2602" w:type="pct"/>
            <w:hideMark/>
          </w:tcPr>
          <w:p w14:paraId="71F262F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Sí=5</w:t>
            </w:r>
          </w:p>
        </w:tc>
      </w:tr>
      <w:tr w:rsidR="00615271" w:rsidRPr="00615271" w14:paraId="6EBFD65C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493E0F62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6CE0EC41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BD468A9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No=0</w:t>
            </w:r>
          </w:p>
        </w:tc>
      </w:tr>
      <w:tr w:rsidR="00615271" w:rsidRPr="00615271" w14:paraId="5DE8E070" w14:textId="77777777" w:rsidTr="00620869">
        <w:trPr>
          <w:trHeight w:val="345"/>
        </w:trPr>
        <w:tc>
          <w:tcPr>
            <w:tcW w:w="1898" w:type="pct"/>
            <w:vMerge w:val="restart"/>
            <w:hideMark/>
          </w:tcPr>
          <w:p w14:paraId="508F85C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Fuente de dinero </w:t>
            </w:r>
          </w:p>
        </w:tc>
        <w:tc>
          <w:tcPr>
            <w:tcW w:w="500" w:type="pct"/>
            <w:vMerge w:val="restart"/>
            <w:hideMark/>
          </w:tcPr>
          <w:p w14:paraId="2D0AFA2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5</w:t>
            </w:r>
          </w:p>
        </w:tc>
        <w:tc>
          <w:tcPr>
            <w:tcW w:w="2602" w:type="pct"/>
            <w:hideMark/>
          </w:tcPr>
          <w:p w14:paraId="192C91F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Banca para el desarrollo=5</w:t>
            </w:r>
          </w:p>
        </w:tc>
      </w:tr>
      <w:tr w:rsidR="00615271" w:rsidRPr="00615271" w14:paraId="52324AC3" w14:textId="77777777" w:rsidTr="00620869">
        <w:trPr>
          <w:trHeight w:val="280"/>
        </w:trPr>
        <w:tc>
          <w:tcPr>
            <w:tcW w:w="1898" w:type="pct"/>
            <w:vMerge/>
            <w:hideMark/>
          </w:tcPr>
          <w:p w14:paraId="49F70081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23DB2A35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29EF08D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Fideicomiso y recuperación=4</w:t>
            </w:r>
          </w:p>
        </w:tc>
      </w:tr>
      <w:tr w:rsidR="00615271" w:rsidRPr="00615271" w14:paraId="1CD6AE6E" w14:textId="77777777" w:rsidTr="00620869">
        <w:trPr>
          <w:trHeight w:val="270"/>
        </w:trPr>
        <w:tc>
          <w:tcPr>
            <w:tcW w:w="1898" w:type="pct"/>
            <w:vMerge/>
            <w:hideMark/>
          </w:tcPr>
          <w:p w14:paraId="6E6AF8F3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18DD6184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7FF2B355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Banca privada y pública=3</w:t>
            </w:r>
          </w:p>
        </w:tc>
      </w:tr>
      <w:tr w:rsidR="00615271" w:rsidRPr="00615271" w14:paraId="24BA155A" w14:textId="77777777" w:rsidTr="00620869">
        <w:trPr>
          <w:trHeight w:val="274"/>
        </w:trPr>
        <w:tc>
          <w:tcPr>
            <w:tcW w:w="1898" w:type="pct"/>
            <w:vMerge/>
            <w:hideMark/>
          </w:tcPr>
          <w:p w14:paraId="72EE70D3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406B37B4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6C44C157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Presupuesto nacional=2</w:t>
            </w:r>
          </w:p>
        </w:tc>
      </w:tr>
      <w:tr w:rsidR="00615271" w:rsidRPr="00615271" w14:paraId="297FE220" w14:textId="77777777" w:rsidTr="00620869">
        <w:trPr>
          <w:trHeight w:val="562"/>
        </w:trPr>
        <w:tc>
          <w:tcPr>
            <w:tcW w:w="1898" w:type="pct"/>
            <w:vMerge/>
            <w:hideMark/>
          </w:tcPr>
          <w:p w14:paraId="11D1E328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3C04379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8D68A2F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Venta de certificados de carbono internacional=1</w:t>
            </w:r>
          </w:p>
        </w:tc>
      </w:tr>
      <w:tr w:rsidR="00615271" w:rsidRPr="00615271" w14:paraId="10650790" w14:textId="77777777" w:rsidTr="00620869">
        <w:trPr>
          <w:trHeight w:val="272"/>
        </w:trPr>
        <w:tc>
          <w:tcPr>
            <w:tcW w:w="1898" w:type="pct"/>
            <w:vMerge w:val="restart"/>
            <w:hideMark/>
          </w:tcPr>
          <w:p w14:paraId="2A12B02E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de interés</w:t>
            </w:r>
          </w:p>
        </w:tc>
        <w:tc>
          <w:tcPr>
            <w:tcW w:w="500" w:type="pct"/>
            <w:vMerge w:val="restart"/>
            <w:hideMark/>
          </w:tcPr>
          <w:p w14:paraId="29FDA449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4</w:t>
            </w:r>
          </w:p>
        </w:tc>
        <w:tc>
          <w:tcPr>
            <w:tcW w:w="2602" w:type="pct"/>
            <w:hideMark/>
          </w:tcPr>
          <w:p w14:paraId="02945A9E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Tasa fija menor al 8% =4 </w:t>
            </w:r>
          </w:p>
        </w:tc>
      </w:tr>
      <w:tr w:rsidR="00615271" w:rsidRPr="00615271" w14:paraId="4F02CB4A" w14:textId="77777777" w:rsidTr="00620869">
        <w:trPr>
          <w:trHeight w:val="276"/>
        </w:trPr>
        <w:tc>
          <w:tcPr>
            <w:tcW w:w="1898" w:type="pct"/>
            <w:vMerge/>
            <w:hideMark/>
          </w:tcPr>
          <w:p w14:paraId="0EDFE095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3DB7604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3EF4C3A8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revisable menor al 8% =3</w:t>
            </w:r>
          </w:p>
        </w:tc>
      </w:tr>
      <w:tr w:rsidR="00615271" w:rsidRPr="00615271" w14:paraId="707F873E" w14:textId="77777777" w:rsidTr="00620869">
        <w:trPr>
          <w:trHeight w:val="266"/>
        </w:trPr>
        <w:tc>
          <w:tcPr>
            <w:tcW w:w="1898" w:type="pct"/>
            <w:vMerge/>
            <w:hideMark/>
          </w:tcPr>
          <w:p w14:paraId="393DA5C2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0D0CCF15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3F7116AB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fija mayor al 8% =2</w:t>
            </w:r>
          </w:p>
        </w:tc>
      </w:tr>
      <w:tr w:rsidR="00615271" w:rsidRPr="00615271" w14:paraId="7021ABBD" w14:textId="77777777" w:rsidTr="00620869">
        <w:trPr>
          <w:trHeight w:val="270"/>
        </w:trPr>
        <w:tc>
          <w:tcPr>
            <w:tcW w:w="1898" w:type="pct"/>
            <w:vMerge/>
            <w:hideMark/>
          </w:tcPr>
          <w:p w14:paraId="67744FA8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420BCDD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26FA6C8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revisable mayor al 8%=1</w:t>
            </w:r>
          </w:p>
        </w:tc>
      </w:tr>
      <w:tr w:rsidR="00615271" w:rsidRPr="00615271" w14:paraId="03F1E7B9" w14:textId="77777777" w:rsidTr="00620869">
        <w:trPr>
          <w:trHeight w:val="273"/>
        </w:trPr>
        <w:tc>
          <w:tcPr>
            <w:tcW w:w="1898" w:type="pct"/>
            <w:vMerge/>
            <w:hideMark/>
          </w:tcPr>
          <w:p w14:paraId="56C65CCE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12E3417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3352A0DC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Tasa fija+tasa revisable =0</w:t>
            </w:r>
          </w:p>
        </w:tc>
      </w:tr>
      <w:tr w:rsidR="00615271" w:rsidRPr="00615271" w14:paraId="1AD24853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725368D7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04E9E8A2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1C8E5151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N/A=4</w:t>
            </w:r>
          </w:p>
        </w:tc>
      </w:tr>
      <w:tr w:rsidR="00615271" w:rsidRPr="00615271" w14:paraId="3EC1520F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102D5EF6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Periodo de gracia</w:t>
            </w:r>
          </w:p>
        </w:tc>
        <w:tc>
          <w:tcPr>
            <w:tcW w:w="500" w:type="pct"/>
            <w:vMerge w:val="restart"/>
            <w:hideMark/>
          </w:tcPr>
          <w:p w14:paraId="37A0CFCB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3</w:t>
            </w:r>
          </w:p>
        </w:tc>
        <w:tc>
          <w:tcPr>
            <w:tcW w:w="2602" w:type="pct"/>
            <w:hideMark/>
          </w:tcPr>
          <w:p w14:paraId="2F508314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Hay=3</w:t>
            </w:r>
          </w:p>
        </w:tc>
      </w:tr>
      <w:tr w:rsidR="00615271" w:rsidRPr="00615271" w14:paraId="674A56C5" w14:textId="77777777" w:rsidTr="00620869">
        <w:trPr>
          <w:trHeight w:val="300"/>
        </w:trPr>
        <w:tc>
          <w:tcPr>
            <w:tcW w:w="1898" w:type="pct"/>
            <w:vMerge/>
            <w:hideMark/>
          </w:tcPr>
          <w:p w14:paraId="1975E158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5A52A2EA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2F40E2D2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 hay=0</w:t>
            </w:r>
          </w:p>
        </w:tc>
      </w:tr>
      <w:tr w:rsidR="00615271" w:rsidRPr="00615271" w14:paraId="3128188D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29EFC485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6E52ECF1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7E58D674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N/A=3</w:t>
            </w:r>
          </w:p>
        </w:tc>
      </w:tr>
      <w:tr w:rsidR="00615271" w:rsidRPr="00615271" w14:paraId="300EF05F" w14:textId="77777777" w:rsidTr="00620869">
        <w:trPr>
          <w:trHeight w:val="282"/>
        </w:trPr>
        <w:tc>
          <w:tcPr>
            <w:tcW w:w="1898" w:type="pct"/>
            <w:vMerge w:val="restart"/>
            <w:hideMark/>
          </w:tcPr>
          <w:p w14:paraId="6A42AF2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 xml:space="preserve">Exige seguros que cubran muerte de plantas </w:t>
            </w:r>
          </w:p>
        </w:tc>
        <w:tc>
          <w:tcPr>
            <w:tcW w:w="500" w:type="pct"/>
            <w:vMerge w:val="restart"/>
            <w:hideMark/>
          </w:tcPr>
          <w:p w14:paraId="1B46C536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3</w:t>
            </w:r>
          </w:p>
        </w:tc>
        <w:tc>
          <w:tcPr>
            <w:tcW w:w="2602" w:type="pct"/>
            <w:hideMark/>
          </w:tcPr>
          <w:p w14:paraId="0508722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Hay cobertura total=3</w:t>
            </w:r>
          </w:p>
        </w:tc>
      </w:tr>
      <w:tr w:rsidR="00615271" w:rsidRPr="00615271" w14:paraId="7F7BADB7" w14:textId="77777777" w:rsidTr="00620869">
        <w:trPr>
          <w:trHeight w:val="286"/>
        </w:trPr>
        <w:tc>
          <w:tcPr>
            <w:tcW w:w="1898" w:type="pct"/>
            <w:vMerge/>
            <w:hideMark/>
          </w:tcPr>
          <w:p w14:paraId="48282F93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48B5E3AF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4EC7CC8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Hay cobertura parcial=2</w:t>
            </w:r>
          </w:p>
        </w:tc>
      </w:tr>
      <w:tr w:rsidR="00615271" w:rsidRPr="00615271" w14:paraId="159CCA35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46C43400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00BBAD7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0D0BB7F4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 hay cobertura=0</w:t>
            </w:r>
          </w:p>
        </w:tc>
      </w:tr>
      <w:tr w:rsidR="00615271" w:rsidRPr="00615271" w14:paraId="6DEDEACD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3B06206E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Moneda</w:t>
            </w:r>
          </w:p>
        </w:tc>
        <w:tc>
          <w:tcPr>
            <w:tcW w:w="500" w:type="pct"/>
            <w:vMerge w:val="restart"/>
            <w:hideMark/>
          </w:tcPr>
          <w:p w14:paraId="7516F93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2</w:t>
            </w:r>
          </w:p>
        </w:tc>
        <w:tc>
          <w:tcPr>
            <w:tcW w:w="2602" w:type="pct"/>
            <w:hideMark/>
          </w:tcPr>
          <w:p w14:paraId="0D64C533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Colones=2</w:t>
            </w:r>
          </w:p>
        </w:tc>
      </w:tr>
      <w:tr w:rsidR="00615271" w:rsidRPr="00615271" w14:paraId="4C8FF44D" w14:textId="77777777" w:rsidTr="00620869">
        <w:trPr>
          <w:trHeight w:val="300"/>
        </w:trPr>
        <w:tc>
          <w:tcPr>
            <w:tcW w:w="1898" w:type="pct"/>
            <w:vMerge/>
            <w:hideMark/>
          </w:tcPr>
          <w:p w14:paraId="5B5599EE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DFF292E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40DBD53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Ambos=1</w:t>
            </w:r>
          </w:p>
        </w:tc>
      </w:tr>
      <w:tr w:rsidR="00615271" w:rsidRPr="00615271" w14:paraId="39BCE040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499C0CD5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02A51F9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13B8F5DD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Dólares=0</w:t>
            </w:r>
          </w:p>
        </w:tc>
      </w:tr>
      <w:tr w:rsidR="00615271" w:rsidRPr="00615271" w14:paraId="5BC47190" w14:textId="77777777" w:rsidTr="00620869">
        <w:trPr>
          <w:trHeight w:val="300"/>
        </w:trPr>
        <w:tc>
          <w:tcPr>
            <w:tcW w:w="1898" w:type="pct"/>
            <w:vMerge w:val="restart"/>
            <w:hideMark/>
          </w:tcPr>
          <w:p w14:paraId="1DF3D43D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Plazo en función del paquete tecnológico</w:t>
            </w:r>
          </w:p>
        </w:tc>
        <w:tc>
          <w:tcPr>
            <w:tcW w:w="500" w:type="pct"/>
            <w:vMerge w:val="restart"/>
            <w:hideMark/>
          </w:tcPr>
          <w:p w14:paraId="2E21EB99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3</w:t>
            </w:r>
          </w:p>
        </w:tc>
        <w:tc>
          <w:tcPr>
            <w:tcW w:w="2602" w:type="pct"/>
            <w:hideMark/>
          </w:tcPr>
          <w:p w14:paraId="66581257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Sí=3</w:t>
            </w:r>
          </w:p>
        </w:tc>
      </w:tr>
      <w:tr w:rsidR="00615271" w:rsidRPr="00615271" w14:paraId="1788CC24" w14:textId="77777777" w:rsidTr="00620869">
        <w:trPr>
          <w:trHeight w:val="300"/>
        </w:trPr>
        <w:tc>
          <w:tcPr>
            <w:tcW w:w="1898" w:type="pct"/>
            <w:vMerge/>
            <w:hideMark/>
          </w:tcPr>
          <w:p w14:paraId="1A4598FA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7B0A655D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58DFA9FA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No= 0</w:t>
            </w:r>
          </w:p>
        </w:tc>
      </w:tr>
      <w:tr w:rsidR="00615271" w:rsidRPr="00615271" w14:paraId="7E26DF3D" w14:textId="77777777" w:rsidTr="00620869">
        <w:trPr>
          <w:trHeight w:val="315"/>
        </w:trPr>
        <w:tc>
          <w:tcPr>
            <w:tcW w:w="1898" w:type="pct"/>
            <w:vMerge/>
            <w:hideMark/>
          </w:tcPr>
          <w:p w14:paraId="760C3F44" w14:textId="77777777" w:rsidR="00615271" w:rsidRPr="00615271" w:rsidRDefault="00615271" w:rsidP="00615271">
            <w:pPr>
              <w:tabs>
                <w:tab w:val="num" w:pos="720"/>
              </w:tabs>
            </w:pPr>
          </w:p>
        </w:tc>
        <w:tc>
          <w:tcPr>
            <w:tcW w:w="500" w:type="pct"/>
            <w:vMerge/>
            <w:hideMark/>
          </w:tcPr>
          <w:p w14:paraId="4EE40AC3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</w:p>
        </w:tc>
        <w:tc>
          <w:tcPr>
            <w:tcW w:w="2602" w:type="pct"/>
            <w:hideMark/>
          </w:tcPr>
          <w:p w14:paraId="1D7DCCCF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N/A=3</w:t>
            </w:r>
          </w:p>
        </w:tc>
      </w:tr>
      <w:tr w:rsidR="00615271" w:rsidRPr="00615271" w14:paraId="769693DA" w14:textId="77777777" w:rsidTr="00620869">
        <w:trPr>
          <w:trHeight w:val="315"/>
        </w:trPr>
        <w:tc>
          <w:tcPr>
            <w:tcW w:w="1898" w:type="pct"/>
            <w:hideMark/>
          </w:tcPr>
          <w:p w14:paraId="344F1049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Total</w:t>
            </w:r>
          </w:p>
        </w:tc>
        <w:tc>
          <w:tcPr>
            <w:tcW w:w="500" w:type="pct"/>
            <w:hideMark/>
          </w:tcPr>
          <w:p w14:paraId="5830945D" w14:textId="77777777" w:rsidR="00615271" w:rsidRPr="00615271" w:rsidRDefault="00615271" w:rsidP="00E70C30">
            <w:pPr>
              <w:tabs>
                <w:tab w:val="num" w:pos="720"/>
              </w:tabs>
              <w:jc w:val="center"/>
            </w:pPr>
            <w:r w:rsidRPr="00615271">
              <w:t>25</w:t>
            </w:r>
          </w:p>
        </w:tc>
        <w:tc>
          <w:tcPr>
            <w:tcW w:w="2602" w:type="pct"/>
            <w:hideMark/>
          </w:tcPr>
          <w:p w14:paraId="5AB89770" w14:textId="77777777" w:rsidR="00615271" w:rsidRPr="00615271" w:rsidRDefault="00615271" w:rsidP="00615271">
            <w:pPr>
              <w:tabs>
                <w:tab w:val="num" w:pos="720"/>
              </w:tabs>
            </w:pPr>
            <w:r w:rsidRPr="00615271">
              <w:t> </w:t>
            </w:r>
          </w:p>
        </w:tc>
      </w:tr>
    </w:tbl>
    <w:p w14:paraId="162F4A23" w14:textId="77777777" w:rsidR="0046408E" w:rsidRDefault="0046408E" w:rsidP="0032441E">
      <w:pPr>
        <w:tabs>
          <w:tab w:val="num" w:pos="720"/>
        </w:tabs>
      </w:pPr>
    </w:p>
    <w:p w14:paraId="7BF819F1" w14:textId="4E90ED6C" w:rsidR="00EA0837" w:rsidRPr="000A7169" w:rsidRDefault="00EA0837" w:rsidP="00EA0837">
      <w:r>
        <w:t>Tabla 4. Peso y escala de valoración de los atributos de viabilidad legal</w:t>
      </w:r>
    </w:p>
    <w:tbl>
      <w:tblPr>
        <w:tblStyle w:val="Tablaconcuadrcula4-nfasis1"/>
        <w:tblW w:w="3931" w:type="pct"/>
        <w:tblLook w:val="0620" w:firstRow="1" w:lastRow="0" w:firstColumn="0" w:lastColumn="0" w:noHBand="1" w:noVBand="1"/>
      </w:tblPr>
      <w:tblGrid>
        <w:gridCol w:w="2547"/>
        <w:gridCol w:w="704"/>
        <w:gridCol w:w="3690"/>
      </w:tblGrid>
      <w:tr w:rsidR="00463EC4" w:rsidRPr="00463EC4" w14:paraId="344F44EC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1835" w:type="pct"/>
            <w:hideMark/>
          </w:tcPr>
          <w:p w14:paraId="1A6AE812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Viabilidad Legal </w:t>
            </w:r>
          </w:p>
        </w:tc>
        <w:tc>
          <w:tcPr>
            <w:tcW w:w="507" w:type="pct"/>
            <w:hideMark/>
          </w:tcPr>
          <w:p w14:paraId="1255AEC4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Peso</w:t>
            </w:r>
          </w:p>
        </w:tc>
        <w:tc>
          <w:tcPr>
            <w:tcW w:w="2658" w:type="pct"/>
            <w:hideMark/>
          </w:tcPr>
          <w:p w14:paraId="7C1E5FD4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Escala</w:t>
            </w:r>
          </w:p>
        </w:tc>
      </w:tr>
      <w:tr w:rsidR="00463EC4" w:rsidRPr="00463EC4" w14:paraId="7DC41874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6013E3C7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El sistema contempla garantía (Por ejemplo: hipotecaria, prendaria, fiduciaria o pignoración)</w:t>
            </w:r>
          </w:p>
        </w:tc>
        <w:tc>
          <w:tcPr>
            <w:tcW w:w="507" w:type="pct"/>
            <w:vMerge w:val="restart"/>
            <w:hideMark/>
          </w:tcPr>
          <w:p w14:paraId="76164585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4F7605A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Hipotecaria= 4</w:t>
            </w:r>
          </w:p>
        </w:tc>
      </w:tr>
      <w:tr w:rsidR="00463EC4" w:rsidRPr="00463EC4" w14:paraId="3E0774D5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66EB2834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6723BB7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4769B9BD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Pignoración=3</w:t>
            </w:r>
          </w:p>
        </w:tc>
      </w:tr>
      <w:tr w:rsidR="00463EC4" w:rsidRPr="00463EC4" w14:paraId="5AAE7566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3F19DBCE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5E12522A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7FE6F76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Prendaria=2</w:t>
            </w:r>
          </w:p>
        </w:tc>
      </w:tr>
      <w:tr w:rsidR="00463EC4" w:rsidRPr="00463EC4" w14:paraId="215EFE0B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71DAA670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C301577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BB45CF6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Fiduciaria=1</w:t>
            </w:r>
          </w:p>
        </w:tc>
      </w:tr>
      <w:tr w:rsidR="00463EC4" w:rsidRPr="00463EC4" w14:paraId="47A918F2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5444BA12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BA328B7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6D5DEF1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N/A=4</w:t>
            </w:r>
          </w:p>
        </w:tc>
      </w:tr>
      <w:tr w:rsidR="00463EC4" w:rsidRPr="00463EC4" w14:paraId="2850B53D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3D2ED78D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Gravámenes o anotaciones</w:t>
            </w:r>
          </w:p>
        </w:tc>
        <w:tc>
          <w:tcPr>
            <w:tcW w:w="507" w:type="pct"/>
            <w:vMerge w:val="restart"/>
            <w:hideMark/>
          </w:tcPr>
          <w:p w14:paraId="49101BAE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0A02CBC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Hay=4</w:t>
            </w:r>
          </w:p>
        </w:tc>
      </w:tr>
      <w:tr w:rsidR="00463EC4" w:rsidRPr="00463EC4" w14:paraId="25B67B78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3B45A91F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7A75DA6F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1649BBCE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No hay=0</w:t>
            </w:r>
          </w:p>
        </w:tc>
      </w:tr>
      <w:tr w:rsidR="00463EC4" w:rsidRPr="00463EC4" w14:paraId="2559723B" w14:textId="77777777" w:rsidTr="00620869">
        <w:tc>
          <w:tcPr>
            <w:tcW w:w="1835" w:type="pct"/>
            <w:vMerge/>
            <w:hideMark/>
          </w:tcPr>
          <w:p w14:paraId="64AB75D2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20D3E138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7B73D258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N/A=4</w:t>
            </w:r>
          </w:p>
        </w:tc>
      </w:tr>
      <w:tr w:rsidR="00463EC4" w:rsidRPr="00463EC4" w14:paraId="5EBBE3B5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7380097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El sistema establece un monto máximo a financiar </w:t>
            </w:r>
          </w:p>
        </w:tc>
        <w:tc>
          <w:tcPr>
            <w:tcW w:w="507" w:type="pct"/>
            <w:vMerge w:val="restart"/>
            <w:hideMark/>
          </w:tcPr>
          <w:p w14:paraId="11F6FCE2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4B5032DB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Sí=4</w:t>
            </w:r>
          </w:p>
        </w:tc>
      </w:tr>
      <w:tr w:rsidR="00463EC4" w:rsidRPr="00463EC4" w14:paraId="6C4A4072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691B8306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5F7E6913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F91ED53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No = 0</w:t>
            </w:r>
          </w:p>
        </w:tc>
      </w:tr>
      <w:tr w:rsidR="00463EC4" w:rsidRPr="00463EC4" w14:paraId="2448C6B9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7797579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El sistema establece un porcentaje máximo de financiamiento con respecto a la inversión </w:t>
            </w:r>
          </w:p>
        </w:tc>
        <w:tc>
          <w:tcPr>
            <w:tcW w:w="507" w:type="pct"/>
            <w:vMerge w:val="restart"/>
            <w:hideMark/>
          </w:tcPr>
          <w:p w14:paraId="04071CC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1FE80D0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100%=4</w:t>
            </w:r>
          </w:p>
        </w:tc>
      </w:tr>
      <w:tr w:rsidR="00463EC4" w:rsidRPr="00463EC4" w14:paraId="5CD88880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16FC6061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B0A336A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16362F9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90%=3</w:t>
            </w:r>
          </w:p>
        </w:tc>
      </w:tr>
      <w:tr w:rsidR="00463EC4" w:rsidRPr="00463EC4" w14:paraId="327D15A2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79F9907B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7628BF42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143E3B7E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80%=2</w:t>
            </w:r>
          </w:p>
        </w:tc>
      </w:tr>
      <w:tr w:rsidR="00463EC4" w:rsidRPr="00463EC4" w14:paraId="4EDDB48E" w14:textId="77777777" w:rsidTr="00620869">
        <w:trPr>
          <w:trHeight w:val="300"/>
        </w:trPr>
        <w:tc>
          <w:tcPr>
            <w:tcW w:w="1835" w:type="pct"/>
            <w:vMerge/>
            <w:hideMark/>
          </w:tcPr>
          <w:p w14:paraId="03B3BEEC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21B019C3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7BD8FFE3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Menos de 80%=0</w:t>
            </w:r>
          </w:p>
        </w:tc>
      </w:tr>
      <w:tr w:rsidR="00463EC4" w:rsidRPr="00463EC4" w14:paraId="7BFD020B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2A6486A0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6D8D7633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66FC66B4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N/A=4</w:t>
            </w:r>
          </w:p>
        </w:tc>
      </w:tr>
      <w:tr w:rsidR="00463EC4" w:rsidRPr="00463EC4" w14:paraId="3C77687D" w14:textId="77777777" w:rsidTr="00620869">
        <w:trPr>
          <w:trHeight w:val="300"/>
        </w:trPr>
        <w:tc>
          <w:tcPr>
            <w:tcW w:w="1835" w:type="pct"/>
            <w:vMerge w:val="restart"/>
            <w:hideMark/>
          </w:tcPr>
          <w:p w14:paraId="34446D76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 xml:space="preserve">Reglas de financiamiento en caso de desastres </w:t>
            </w:r>
          </w:p>
        </w:tc>
        <w:tc>
          <w:tcPr>
            <w:tcW w:w="507" w:type="pct"/>
            <w:vMerge w:val="restart"/>
            <w:hideMark/>
          </w:tcPr>
          <w:p w14:paraId="40281F4F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4</w:t>
            </w:r>
          </w:p>
        </w:tc>
        <w:tc>
          <w:tcPr>
            <w:tcW w:w="2658" w:type="pct"/>
            <w:hideMark/>
          </w:tcPr>
          <w:p w14:paraId="5E45F290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Hay=4</w:t>
            </w:r>
          </w:p>
        </w:tc>
      </w:tr>
      <w:tr w:rsidR="00463EC4" w:rsidRPr="00463EC4" w14:paraId="67925DFA" w14:textId="77777777" w:rsidTr="00620869">
        <w:trPr>
          <w:trHeight w:val="315"/>
        </w:trPr>
        <w:tc>
          <w:tcPr>
            <w:tcW w:w="1835" w:type="pct"/>
            <w:vMerge/>
            <w:hideMark/>
          </w:tcPr>
          <w:p w14:paraId="4BF045A5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507" w:type="pct"/>
            <w:vMerge/>
            <w:hideMark/>
          </w:tcPr>
          <w:p w14:paraId="5BACBAA8" w14:textId="77777777" w:rsidR="00463EC4" w:rsidRPr="00463EC4" w:rsidRDefault="00463EC4" w:rsidP="00463EC4">
            <w:pPr>
              <w:tabs>
                <w:tab w:val="num" w:pos="720"/>
              </w:tabs>
            </w:pPr>
          </w:p>
        </w:tc>
        <w:tc>
          <w:tcPr>
            <w:tcW w:w="2658" w:type="pct"/>
            <w:hideMark/>
          </w:tcPr>
          <w:p w14:paraId="0C81B892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No hay=0</w:t>
            </w:r>
          </w:p>
        </w:tc>
      </w:tr>
      <w:tr w:rsidR="00463EC4" w:rsidRPr="00463EC4" w14:paraId="4527ACC0" w14:textId="77777777" w:rsidTr="00620869">
        <w:trPr>
          <w:trHeight w:val="315"/>
        </w:trPr>
        <w:tc>
          <w:tcPr>
            <w:tcW w:w="1835" w:type="pct"/>
            <w:hideMark/>
          </w:tcPr>
          <w:p w14:paraId="752C2EB6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Total</w:t>
            </w:r>
          </w:p>
        </w:tc>
        <w:tc>
          <w:tcPr>
            <w:tcW w:w="507" w:type="pct"/>
            <w:hideMark/>
          </w:tcPr>
          <w:p w14:paraId="3B08F5B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20</w:t>
            </w:r>
          </w:p>
        </w:tc>
        <w:tc>
          <w:tcPr>
            <w:tcW w:w="2658" w:type="pct"/>
            <w:hideMark/>
          </w:tcPr>
          <w:p w14:paraId="61C7B2EA" w14:textId="77777777" w:rsidR="00463EC4" w:rsidRPr="00463EC4" w:rsidRDefault="00463EC4" w:rsidP="00463EC4">
            <w:pPr>
              <w:tabs>
                <w:tab w:val="num" w:pos="720"/>
              </w:tabs>
            </w:pPr>
            <w:r w:rsidRPr="00463EC4">
              <w:t> </w:t>
            </w:r>
          </w:p>
        </w:tc>
      </w:tr>
    </w:tbl>
    <w:p w14:paraId="29198181" w14:textId="77777777" w:rsidR="0046408E" w:rsidRDefault="0046408E" w:rsidP="0032441E">
      <w:pPr>
        <w:tabs>
          <w:tab w:val="num" w:pos="720"/>
        </w:tabs>
      </w:pPr>
    </w:p>
    <w:p w14:paraId="2FC294A1" w14:textId="77777777" w:rsidR="00615271" w:rsidRDefault="00615271" w:rsidP="0032441E">
      <w:pPr>
        <w:tabs>
          <w:tab w:val="num" w:pos="720"/>
        </w:tabs>
      </w:pPr>
    </w:p>
    <w:p w14:paraId="6F9329B0" w14:textId="0897AB98" w:rsidR="00EA0837" w:rsidRPr="000A7169" w:rsidRDefault="00EA0837" w:rsidP="00EA0837">
      <w:r>
        <w:t>Tabla 5. Peso y escala de valoración de los atributos de viabilidad administrativa operativa</w:t>
      </w:r>
    </w:p>
    <w:tbl>
      <w:tblPr>
        <w:tblStyle w:val="Tablaconcuadrcula4-nfasis1"/>
        <w:tblW w:w="3450" w:type="pct"/>
        <w:tblLook w:val="0620" w:firstRow="1" w:lastRow="0" w:firstColumn="0" w:lastColumn="0" w:noHBand="1" w:noVBand="1"/>
      </w:tblPr>
      <w:tblGrid>
        <w:gridCol w:w="2830"/>
        <w:gridCol w:w="710"/>
        <w:gridCol w:w="2551"/>
      </w:tblGrid>
      <w:tr w:rsidR="006715AA" w:rsidRPr="006715AA" w14:paraId="51B1C07C" w14:textId="77777777" w:rsidTr="00620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323" w:type="pct"/>
            <w:hideMark/>
          </w:tcPr>
          <w:p w14:paraId="45372396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Viabilidad Administrativa-operativa </w:t>
            </w:r>
          </w:p>
        </w:tc>
        <w:tc>
          <w:tcPr>
            <w:tcW w:w="583" w:type="pct"/>
            <w:hideMark/>
          </w:tcPr>
          <w:p w14:paraId="6F5D0C27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Peso</w:t>
            </w:r>
          </w:p>
        </w:tc>
        <w:tc>
          <w:tcPr>
            <w:tcW w:w="2094" w:type="pct"/>
            <w:hideMark/>
          </w:tcPr>
          <w:p w14:paraId="5FA82C20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Escala</w:t>
            </w:r>
          </w:p>
        </w:tc>
      </w:tr>
      <w:tr w:rsidR="006715AA" w:rsidRPr="006715AA" w14:paraId="14CC4C9E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2B322E5D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El ente administrativo-operativo tiene conocimiento de la actividad forestal </w:t>
            </w:r>
          </w:p>
        </w:tc>
        <w:tc>
          <w:tcPr>
            <w:tcW w:w="583" w:type="pct"/>
            <w:vMerge w:val="restart"/>
            <w:hideMark/>
          </w:tcPr>
          <w:p w14:paraId="3F296D0B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4</w:t>
            </w:r>
          </w:p>
        </w:tc>
        <w:tc>
          <w:tcPr>
            <w:tcW w:w="2094" w:type="pct"/>
            <w:hideMark/>
          </w:tcPr>
          <w:p w14:paraId="33490EDF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Alto= 4</w:t>
            </w:r>
          </w:p>
        </w:tc>
      </w:tr>
      <w:tr w:rsidR="006715AA" w:rsidRPr="006715AA" w14:paraId="209B3870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7CA40770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3BBE3CD0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0C2FCB69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Medio=2</w:t>
            </w:r>
          </w:p>
        </w:tc>
      </w:tr>
      <w:tr w:rsidR="006715AA" w:rsidRPr="006715AA" w14:paraId="1E758CD9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7DD0EA7D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52C0BA64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46BB674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Bajo=1 </w:t>
            </w:r>
          </w:p>
        </w:tc>
      </w:tr>
      <w:tr w:rsidR="006715AA" w:rsidRPr="006715AA" w14:paraId="4CC9D5EF" w14:textId="77777777" w:rsidTr="00620869">
        <w:trPr>
          <w:trHeight w:val="600"/>
        </w:trPr>
        <w:tc>
          <w:tcPr>
            <w:tcW w:w="2323" w:type="pct"/>
            <w:vMerge w:val="restart"/>
            <w:hideMark/>
          </w:tcPr>
          <w:p w14:paraId="1EA91EF3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El sistema de financiamiento ofrece simplificación de trámites </w:t>
            </w:r>
          </w:p>
        </w:tc>
        <w:tc>
          <w:tcPr>
            <w:tcW w:w="583" w:type="pct"/>
            <w:vMerge w:val="restart"/>
            <w:hideMark/>
          </w:tcPr>
          <w:p w14:paraId="59151A01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3</w:t>
            </w:r>
          </w:p>
        </w:tc>
        <w:tc>
          <w:tcPr>
            <w:tcW w:w="2094" w:type="pct"/>
            <w:hideMark/>
          </w:tcPr>
          <w:p w14:paraId="19938E61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Ventanilla única descentralizada=3</w:t>
            </w:r>
          </w:p>
        </w:tc>
      </w:tr>
      <w:tr w:rsidR="006715AA" w:rsidRPr="006715AA" w14:paraId="7C45240A" w14:textId="77777777" w:rsidTr="00620869">
        <w:trPr>
          <w:trHeight w:val="368"/>
        </w:trPr>
        <w:tc>
          <w:tcPr>
            <w:tcW w:w="2323" w:type="pct"/>
            <w:vMerge/>
            <w:hideMark/>
          </w:tcPr>
          <w:p w14:paraId="76212297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7038E2D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5163C9E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Ventanilla única centralizada=2</w:t>
            </w:r>
          </w:p>
        </w:tc>
      </w:tr>
      <w:tr w:rsidR="006715AA" w:rsidRPr="006715AA" w14:paraId="6829F5F8" w14:textId="77777777" w:rsidTr="00620869">
        <w:trPr>
          <w:trHeight w:val="571"/>
        </w:trPr>
        <w:tc>
          <w:tcPr>
            <w:tcW w:w="2323" w:type="pct"/>
            <w:vMerge/>
            <w:hideMark/>
          </w:tcPr>
          <w:p w14:paraId="03848946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0E92FCCD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7F90B0E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rPr>
                <w:lang w:val="pt-BR"/>
              </w:rPr>
              <w:t>Múltiples oficinas centralizadas o descentralizadas=1</w:t>
            </w:r>
          </w:p>
        </w:tc>
      </w:tr>
      <w:tr w:rsidR="006715AA" w:rsidRPr="006715AA" w14:paraId="5CF69A43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2CCE1BCA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 xml:space="preserve">Tiempo de resolución </w:t>
            </w:r>
          </w:p>
        </w:tc>
        <w:tc>
          <w:tcPr>
            <w:tcW w:w="583" w:type="pct"/>
            <w:vMerge w:val="restart"/>
            <w:hideMark/>
          </w:tcPr>
          <w:p w14:paraId="7A0CCF0C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3</w:t>
            </w:r>
          </w:p>
        </w:tc>
        <w:tc>
          <w:tcPr>
            <w:tcW w:w="2094" w:type="pct"/>
            <w:hideMark/>
          </w:tcPr>
          <w:p w14:paraId="5870082D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Hasta 1 mes=3</w:t>
            </w:r>
          </w:p>
        </w:tc>
      </w:tr>
      <w:tr w:rsidR="006715AA" w:rsidRPr="006715AA" w14:paraId="53CDEA2A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7B88D61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4B8A9483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1E70432D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Hasta 3 meses=2</w:t>
            </w:r>
          </w:p>
        </w:tc>
      </w:tr>
      <w:tr w:rsidR="006715AA" w:rsidRPr="006715AA" w14:paraId="2898872A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1D9D3EC7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347E12E3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63A769F3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Más de 3 meses=0</w:t>
            </w:r>
          </w:p>
        </w:tc>
      </w:tr>
      <w:tr w:rsidR="006715AA" w:rsidRPr="006715AA" w14:paraId="7BC44CF8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7E8621B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El ente administrativo-operativo tiene recurso humano especializado</w:t>
            </w:r>
          </w:p>
        </w:tc>
        <w:tc>
          <w:tcPr>
            <w:tcW w:w="583" w:type="pct"/>
            <w:vMerge w:val="restart"/>
            <w:hideMark/>
          </w:tcPr>
          <w:p w14:paraId="7AC8199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6</w:t>
            </w:r>
          </w:p>
        </w:tc>
        <w:tc>
          <w:tcPr>
            <w:tcW w:w="2094" w:type="pct"/>
            <w:hideMark/>
          </w:tcPr>
          <w:p w14:paraId="698A5AA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Suficiente=6</w:t>
            </w:r>
          </w:p>
        </w:tc>
      </w:tr>
      <w:tr w:rsidR="006715AA" w:rsidRPr="006715AA" w14:paraId="5982562F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34C9CEE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3D13B48F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802ABB7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Insuficiente=3</w:t>
            </w:r>
          </w:p>
        </w:tc>
      </w:tr>
      <w:tr w:rsidR="006715AA" w:rsidRPr="006715AA" w14:paraId="72E5F3F9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78312695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10A21659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53FFD52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No tiene=0</w:t>
            </w:r>
          </w:p>
        </w:tc>
      </w:tr>
      <w:tr w:rsidR="006715AA" w:rsidRPr="006715AA" w14:paraId="636DE680" w14:textId="77777777" w:rsidTr="00620869">
        <w:trPr>
          <w:trHeight w:val="300"/>
        </w:trPr>
        <w:tc>
          <w:tcPr>
            <w:tcW w:w="2323" w:type="pct"/>
            <w:vMerge w:val="restart"/>
            <w:hideMark/>
          </w:tcPr>
          <w:p w14:paraId="7ACD98B4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El ente administrativo-operativo tiene capacidad para dar seguimiento y control a los proyectos</w:t>
            </w:r>
          </w:p>
        </w:tc>
        <w:tc>
          <w:tcPr>
            <w:tcW w:w="583" w:type="pct"/>
            <w:vMerge w:val="restart"/>
            <w:hideMark/>
          </w:tcPr>
          <w:p w14:paraId="3C683E55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4</w:t>
            </w:r>
          </w:p>
        </w:tc>
        <w:tc>
          <w:tcPr>
            <w:tcW w:w="2094" w:type="pct"/>
            <w:hideMark/>
          </w:tcPr>
          <w:p w14:paraId="062C0FFC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Alto=4</w:t>
            </w:r>
          </w:p>
        </w:tc>
      </w:tr>
      <w:tr w:rsidR="006715AA" w:rsidRPr="006715AA" w14:paraId="22713D41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0A309FEF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067448B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3616C430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Medio=3</w:t>
            </w:r>
          </w:p>
        </w:tc>
      </w:tr>
      <w:tr w:rsidR="006715AA" w:rsidRPr="006715AA" w14:paraId="50AD9184" w14:textId="77777777" w:rsidTr="00620869">
        <w:trPr>
          <w:trHeight w:val="300"/>
        </w:trPr>
        <w:tc>
          <w:tcPr>
            <w:tcW w:w="2323" w:type="pct"/>
            <w:vMerge/>
            <w:hideMark/>
          </w:tcPr>
          <w:p w14:paraId="6D47BBF4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74027B92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1E4B7AAA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Bajo=1</w:t>
            </w:r>
          </w:p>
        </w:tc>
      </w:tr>
      <w:tr w:rsidR="006715AA" w:rsidRPr="006715AA" w14:paraId="42F798B8" w14:textId="77777777" w:rsidTr="00620869">
        <w:trPr>
          <w:trHeight w:val="315"/>
        </w:trPr>
        <w:tc>
          <w:tcPr>
            <w:tcW w:w="2323" w:type="pct"/>
            <w:vMerge/>
            <w:hideMark/>
          </w:tcPr>
          <w:p w14:paraId="2DB452EA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583" w:type="pct"/>
            <w:vMerge/>
            <w:hideMark/>
          </w:tcPr>
          <w:p w14:paraId="79DDAC4D" w14:textId="77777777" w:rsidR="006715AA" w:rsidRPr="006715AA" w:rsidRDefault="006715AA" w:rsidP="006715AA">
            <w:pPr>
              <w:tabs>
                <w:tab w:val="num" w:pos="720"/>
              </w:tabs>
            </w:pPr>
          </w:p>
        </w:tc>
        <w:tc>
          <w:tcPr>
            <w:tcW w:w="2094" w:type="pct"/>
            <w:hideMark/>
          </w:tcPr>
          <w:p w14:paraId="4828093F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No tiene=0</w:t>
            </w:r>
          </w:p>
        </w:tc>
      </w:tr>
      <w:tr w:rsidR="006715AA" w:rsidRPr="006715AA" w14:paraId="46E96FD4" w14:textId="77777777" w:rsidTr="00620869">
        <w:trPr>
          <w:trHeight w:val="315"/>
        </w:trPr>
        <w:tc>
          <w:tcPr>
            <w:tcW w:w="2323" w:type="pct"/>
            <w:hideMark/>
          </w:tcPr>
          <w:p w14:paraId="2FAA94B9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Total</w:t>
            </w:r>
          </w:p>
        </w:tc>
        <w:tc>
          <w:tcPr>
            <w:tcW w:w="583" w:type="pct"/>
            <w:hideMark/>
          </w:tcPr>
          <w:p w14:paraId="3E185ACB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20</w:t>
            </w:r>
          </w:p>
        </w:tc>
        <w:tc>
          <w:tcPr>
            <w:tcW w:w="2094" w:type="pct"/>
            <w:hideMark/>
          </w:tcPr>
          <w:p w14:paraId="475FF291" w14:textId="77777777" w:rsidR="006715AA" w:rsidRPr="006715AA" w:rsidRDefault="006715AA" w:rsidP="006715AA">
            <w:pPr>
              <w:tabs>
                <w:tab w:val="num" w:pos="720"/>
              </w:tabs>
            </w:pPr>
            <w:r w:rsidRPr="006715AA">
              <w:t> </w:t>
            </w:r>
          </w:p>
        </w:tc>
      </w:tr>
    </w:tbl>
    <w:p w14:paraId="37B8E05D" w14:textId="77777777" w:rsidR="00463EC4" w:rsidRDefault="00463EC4" w:rsidP="0032441E">
      <w:pPr>
        <w:tabs>
          <w:tab w:val="num" w:pos="720"/>
        </w:tabs>
      </w:pPr>
    </w:p>
    <w:p w14:paraId="0FDBFFD8" w14:textId="77777777" w:rsidR="00EF0704" w:rsidRDefault="00EF0704" w:rsidP="0032441E">
      <w:pPr>
        <w:tabs>
          <w:tab w:val="num" w:pos="720"/>
        </w:tabs>
      </w:pPr>
    </w:p>
    <w:p w14:paraId="148541F0" w14:textId="2E2DD5F0" w:rsidR="00EA0837" w:rsidRPr="000A7169" w:rsidRDefault="00EA0837" w:rsidP="00EA0837">
      <w:r>
        <w:t>Tabla 6. Peso y escala de valoración de los atributos de viabilidad cultural</w:t>
      </w:r>
    </w:p>
    <w:tbl>
      <w:tblPr>
        <w:tblStyle w:val="Tablaconcuadrcula4-nfasis1"/>
        <w:tblW w:w="2887" w:type="pct"/>
        <w:tblLook w:val="0620" w:firstRow="1" w:lastRow="0" w:firstColumn="0" w:lastColumn="0" w:noHBand="1" w:noVBand="1"/>
      </w:tblPr>
      <w:tblGrid>
        <w:gridCol w:w="3226"/>
        <w:gridCol w:w="702"/>
        <w:gridCol w:w="1169"/>
      </w:tblGrid>
      <w:tr w:rsidR="008E45B5" w:rsidRPr="008E45B5" w14:paraId="2742DBF0" w14:textId="77777777" w:rsidTr="00EA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3164" w:type="pct"/>
            <w:hideMark/>
          </w:tcPr>
          <w:p w14:paraId="01DE0BC5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Viabilidad Cultural  </w:t>
            </w:r>
          </w:p>
        </w:tc>
        <w:tc>
          <w:tcPr>
            <w:tcW w:w="689" w:type="pct"/>
            <w:hideMark/>
          </w:tcPr>
          <w:p w14:paraId="3E763BD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Peso</w:t>
            </w:r>
          </w:p>
        </w:tc>
        <w:tc>
          <w:tcPr>
            <w:tcW w:w="1148" w:type="pct"/>
            <w:hideMark/>
          </w:tcPr>
          <w:p w14:paraId="58E3691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Escala</w:t>
            </w:r>
          </w:p>
        </w:tc>
      </w:tr>
      <w:tr w:rsidR="008E45B5" w:rsidRPr="008E45B5" w14:paraId="2CA2FF7B" w14:textId="77777777" w:rsidTr="00EA0837">
        <w:trPr>
          <w:trHeight w:val="300"/>
        </w:trPr>
        <w:tc>
          <w:tcPr>
            <w:tcW w:w="3164" w:type="pct"/>
            <w:vMerge w:val="restart"/>
            <w:hideMark/>
          </w:tcPr>
          <w:p w14:paraId="4AFC5E74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El sistema incluye el financiamiento de Sistemas Agroforestales</w:t>
            </w:r>
          </w:p>
        </w:tc>
        <w:tc>
          <w:tcPr>
            <w:tcW w:w="689" w:type="pct"/>
            <w:vMerge w:val="restart"/>
            <w:hideMark/>
          </w:tcPr>
          <w:p w14:paraId="4EC060EE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3</w:t>
            </w:r>
          </w:p>
        </w:tc>
        <w:tc>
          <w:tcPr>
            <w:tcW w:w="1148" w:type="pct"/>
            <w:hideMark/>
          </w:tcPr>
          <w:p w14:paraId="45536DAA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Sí=3</w:t>
            </w:r>
          </w:p>
        </w:tc>
      </w:tr>
      <w:tr w:rsidR="008E45B5" w:rsidRPr="008E45B5" w14:paraId="5C7D0798" w14:textId="77777777" w:rsidTr="00EA0837">
        <w:trPr>
          <w:trHeight w:val="552"/>
        </w:trPr>
        <w:tc>
          <w:tcPr>
            <w:tcW w:w="3164" w:type="pct"/>
            <w:vMerge/>
            <w:hideMark/>
          </w:tcPr>
          <w:p w14:paraId="042FDAAB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3AE48273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6B6D55AF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No=0</w:t>
            </w:r>
          </w:p>
        </w:tc>
      </w:tr>
      <w:tr w:rsidR="008E45B5" w:rsidRPr="008E45B5" w14:paraId="3F122DE7" w14:textId="77777777" w:rsidTr="00EA0837">
        <w:trPr>
          <w:trHeight w:val="300"/>
        </w:trPr>
        <w:tc>
          <w:tcPr>
            <w:tcW w:w="3164" w:type="pct"/>
            <w:vMerge w:val="restart"/>
            <w:hideMark/>
          </w:tcPr>
          <w:p w14:paraId="43993726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El sistema considera elementos que favorecen la participación de minorías</w:t>
            </w:r>
          </w:p>
        </w:tc>
        <w:tc>
          <w:tcPr>
            <w:tcW w:w="689" w:type="pct"/>
            <w:vMerge w:val="restart"/>
            <w:hideMark/>
          </w:tcPr>
          <w:p w14:paraId="67E579FB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2</w:t>
            </w:r>
          </w:p>
        </w:tc>
        <w:tc>
          <w:tcPr>
            <w:tcW w:w="1148" w:type="pct"/>
            <w:hideMark/>
          </w:tcPr>
          <w:p w14:paraId="69856F7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Alto=2</w:t>
            </w:r>
          </w:p>
        </w:tc>
      </w:tr>
      <w:tr w:rsidR="008E45B5" w:rsidRPr="008E45B5" w14:paraId="7DA96441" w14:textId="77777777" w:rsidTr="00EA0837">
        <w:trPr>
          <w:trHeight w:val="300"/>
        </w:trPr>
        <w:tc>
          <w:tcPr>
            <w:tcW w:w="3164" w:type="pct"/>
            <w:vMerge/>
            <w:hideMark/>
          </w:tcPr>
          <w:p w14:paraId="3777D28E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0AD5710C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395E9C92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Medio=1</w:t>
            </w:r>
          </w:p>
        </w:tc>
      </w:tr>
      <w:tr w:rsidR="008E45B5" w:rsidRPr="008E45B5" w14:paraId="4AEECB5D" w14:textId="77777777" w:rsidTr="00EA0837">
        <w:trPr>
          <w:trHeight w:val="315"/>
        </w:trPr>
        <w:tc>
          <w:tcPr>
            <w:tcW w:w="3164" w:type="pct"/>
            <w:vMerge/>
            <w:hideMark/>
          </w:tcPr>
          <w:p w14:paraId="6677FBEF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2408F670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06E2EEC6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Bajo=0</w:t>
            </w:r>
          </w:p>
        </w:tc>
      </w:tr>
      <w:tr w:rsidR="008E45B5" w:rsidRPr="008E45B5" w14:paraId="0DFCA529" w14:textId="77777777" w:rsidTr="00EA0837">
        <w:trPr>
          <w:trHeight w:val="300"/>
        </w:trPr>
        <w:tc>
          <w:tcPr>
            <w:tcW w:w="3164" w:type="pct"/>
            <w:vMerge w:val="restart"/>
            <w:hideMark/>
          </w:tcPr>
          <w:p w14:paraId="45FC99C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El sistema considera mujeres propietarias </w:t>
            </w:r>
          </w:p>
        </w:tc>
        <w:tc>
          <w:tcPr>
            <w:tcW w:w="689" w:type="pct"/>
            <w:vMerge w:val="restart"/>
            <w:hideMark/>
          </w:tcPr>
          <w:p w14:paraId="06A4762F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1</w:t>
            </w:r>
          </w:p>
        </w:tc>
        <w:tc>
          <w:tcPr>
            <w:tcW w:w="1148" w:type="pct"/>
            <w:hideMark/>
          </w:tcPr>
          <w:p w14:paraId="6E56AB75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Sí=1</w:t>
            </w:r>
          </w:p>
        </w:tc>
      </w:tr>
      <w:tr w:rsidR="008E45B5" w:rsidRPr="008E45B5" w14:paraId="1E22C220" w14:textId="77777777" w:rsidTr="00EA0837">
        <w:trPr>
          <w:trHeight w:val="315"/>
        </w:trPr>
        <w:tc>
          <w:tcPr>
            <w:tcW w:w="3164" w:type="pct"/>
            <w:vMerge/>
            <w:hideMark/>
          </w:tcPr>
          <w:p w14:paraId="3058E0E6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9" w:type="pct"/>
            <w:vMerge/>
            <w:hideMark/>
          </w:tcPr>
          <w:p w14:paraId="5CB8AA93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148" w:type="pct"/>
            <w:hideMark/>
          </w:tcPr>
          <w:p w14:paraId="3374AD22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No=0</w:t>
            </w:r>
          </w:p>
        </w:tc>
      </w:tr>
      <w:tr w:rsidR="008E45B5" w:rsidRPr="008E45B5" w14:paraId="2F171D0E" w14:textId="77777777" w:rsidTr="00EA0837">
        <w:trPr>
          <w:trHeight w:val="315"/>
        </w:trPr>
        <w:tc>
          <w:tcPr>
            <w:tcW w:w="3164" w:type="pct"/>
            <w:hideMark/>
          </w:tcPr>
          <w:p w14:paraId="367E181F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Total</w:t>
            </w:r>
          </w:p>
        </w:tc>
        <w:tc>
          <w:tcPr>
            <w:tcW w:w="689" w:type="pct"/>
            <w:hideMark/>
          </w:tcPr>
          <w:p w14:paraId="1E703694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6</w:t>
            </w:r>
          </w:p>
        </w:tc>
        <w:tc>
          <w:tcPr>
            <w:tcW w:w="1148" w:type="pct"/>
            <w:hideMark/>
          </w:tcPr>
          <w:p w14:paraId="51EA9306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 </w:t>
            </w:r>
          </w:p>
        </w:tc>
      </w:tr>
    </w:tbl>
    <w:p w14:paraId="4055B1A6" w14:textId="77777777" w:rsidR="008E45B5" w:rsidRDefault="008E45B5" w:rsidP="0032441E">
      <w:pPr>
        <w:tabs>
          <w:tab w:val="num" w:pos="720"/>
        </w:tabs>
      </w:pPr>
    </w:p>
    <w:p w14:paraId="41ED2563" w14:textId="77777777" w:rsidR="006715AA" w:rsidRDefault="006715AA" w:rsidP="0032441E">
      <w:pPr>
        <w:tabs>
          <w:tab w:val="num" w:pos="720"/>
        </w:tabs>
      </w:pPr>
    </w:p>
    <w:p w14:paraId="1D400524" w14:textId="3C64DFEC" w:rsidR="00EA0837" w:rsidRPr="000A7169" w:rsidRDefault="00EA0837" w:rsidP="00EA0837">
      <w:r>
        <w:t>Tabla 7. Peso y escala de valoración de los atributos de viabilidad ambiental</w:t>
      </w:r>
    </w:p>
    <w:tbl>
      <w:tblPr>
        <w:tblStyle w:val="Tablaconcuadrcula4-nfasis1"/>
        <w:tblW w:w="3610" w:type="pct"/>
        <w:tblLook w:val="0620" w:firstRow="1" w:lastRow="0" w:firstColumn="0" w:lastColumn="0" w:noHBand="1" w:noVBand="1"/>
      </w:tblPr>
      <w:tblGrid>
        <w:gridCol w:w="3381"/>
        <w:gridCol w:w="867"/>
        <w:gridCol w:w="2126"/>
      </w:tblGrid>
      <w:tr w:rsidR="008E45B5" w:rsidRPr="008E45B5" w14:paraId="0097171C" w14:textId="77777777" w:rsidTr="00EA0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2652" w:type="pct"/>
            <w:hideMark/>
          </w:tcPr>
          <w:p w14:paraId="7E61F127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Viabilidad Ambiental   </w:t>
            </w:r>
          </w:p>
        </w:tc>
        <w:tc>
          <w:tcPr>
            <w:tcW w:w="680" w:type="pct"/>
            <w:hideMark/>
          </w:tcPr>
          <w:p w14:paraId="0E6D525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Peso</w:t>
            </w:r>
          </w:p>
        </w:tc>
        <w:tc>
          <w:tcPr>
            <w:tcW w:w="1668" w:type="pct"/>
            <w:hideMark/>
          </w:tcPr>
          <w:p w14:paraId="12FCA01C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Escala</w:t>
            </w:r>
          </w:p>
        </w:tc>
      </w:tr>
      <w:tr w:rsidR="008E45B5" w:rsidRPr="008E45B5" w14:paraId="00C1866A" w14:textId="77777777" w:rsidTr="00EA0837">
        <w:trPr>
          <w:trHeight w:val="300"/>
        </w:trPr>
        <w:tc>
          <w:tcPr>
            <w:tcW w:w="2652" w:type="pct"/>
            <w:vMerge w:val="restart"/>
            <w:hideMark/>
          </w:tcPr>
          <w:p w14:paraId="3F5E44D8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El sistema permite el uso de plaguicidas y herbicidas</w:t>
            </w:r>
          </w:p>
        </w:tc>
        <w:tc>
          <w:tcPr>
            <w:tcW w:w="680" w:type="pct"/>
            <w:vMerge w:val="restart"/>
            <w:hideMark/>
          </w:tcPr>
          <w:p w14:paraId="1E83EAB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1</w:t>
            </w:r>
          </w:p>
        </w:tc>
        <w:tc>
          <w:tcPr>
            <w:tcW w:w="1668" w:type="pct"/>
            <w:hideMark/>
          </w:tcPr>
          <w:p w14:paraId="45D1128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Permitidos=1</w:t>
            </w:r>
          </w:p>
        </w:tc>
      </w:tr>
      <w:tr w:rsidR="008E45B5" w:rsidRPr="008E45B5" w14:paraId="3DE3C18D" w14:textId="77777777" w:rsidTr="00EA0837">
        <w:trPr>
          <w:trHeight w:val="424"/>
        </w:trPr>
        <w:tc>
          <w:tcPr>
            <w:tcW w:w="2652" w:type="pct"/>
            <w:vMerge/>
            <w:hideMark/>
          </w:tcPr>
          <w:p w14:paraId="1B4E4629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0" w:type="pct"/>
            <w:vMerge/>
            <w:hideMark/>
          </w:tcPr>
          <w:p w14:paraId="24E64879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668" w:type="pct"/>
            <w:hideMark/>
          </w:tcPr>
          <w:p w14:paraId="31770411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 permitidos=0</w:t>
            </w:r>
          </w:p>
        </w:tc>
      </w:tr>
      <w:tr w:rsidR="008E45B5" w:rsidRPr="008E45B5" w14:paraId="4B4B050A" w14:textId="77777777" w:rsidTr="00EA0837">
        <w:trPr>
          <w:trHeight w:val="300"/>
        </w:trPr>
        <w:tc>
          <w:tcPr>
            <w:tcW w:w="2652" w:type="pct"/>
            <w:vMerge w:val="restart"/>
            <w:hideMark/>
          </w:tcPr>
          <w:p w14:paraId="65851759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 xml:space="preserve">El sistema favorece la implementación de buenas a prácticas ambientales productivas </w:t>
            </w:r>
          </w:p>
        </w:tc>
        <w:tc>
          <w:tcPr>
            <w:tcW w:w="680" w:type="pct"/>
            <w:vMerge w:val="restart"/>
            <w:hideMark/>
          </w:tcPr>
          <w:p w14:paraId="3DDDA0AD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3</w:t>
            </w:r>
          </w:p>
        </w:tc>
        <w:tc>
          <w:tcPr>
            <w:tcW w:w="1668" w:type="pct"/>
            <w:hideMark/>
          </w:tcPr>
          <w:p w14:paraId="7A69E389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Sí=3</w:t>
            </w:r>
          </w:p>
        </w:tc>
      </w:tr>
      <w:tr w:rsidR="008E45B5" w:rsidRPr="008E45B5" w14:paraId="11A8CBE0" w14:textId="77777777" w:rsidTr="00EA0837">
        <w:trPr>
          <w:trHeight w:val="315"/>
        </w:trPr>
        <w:tc>
          <w:tcPr>
            <w:tcW w:w="2652" w:type="pct"/>
            <w:vMerge/>
            <w:hideMark/>
          </w:tcPr>
          <w:p w14:paraId="180D3DA8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680" w:type="pct"/>
            <w:vMerge/>
            <w:hideMark/>
          </w:tcPr>
          <w:p w14:paraId="4F031485" w14:textId="77777777" w:rsidR="008E45B5" w:rsidRPr="008E45B5" w:rsidRDefault="008E45B5" w:rsidP="008E45B5">
            <w:pPr>
              <w:tabs>
                <w:tab w:val="num" w:pos="720"/>
              </w:tabs>
            </w:pPr>
          </w:p>
        </w:tc>
        <w:tc>
          <w:tcPr>
            <w:tcW w:w="1668" w:type="pct"/>
            <w:hideMark/>
          </w:tcPr>
          <w:p w14:paraId="44371EE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No=0</w:t>
            </w:r>
          </w:p>
        </w:tc>
      </w:tr>
      <w:tr w:rsidR="008E45B5" w:rsidRPr="008E45B5" w14:paraId="104CECA6" w14:textId="77777777" w:rsidTr="00EA0837">
        <w:trPr>
          <w:trHeight w:val="315"/>
        </w:trPr>
        <w:tc>
          <w:tcPr>
            <w:tcW w:w="2652" w:type="pct"/>
            <w:hideMark/>
          </w:tcPr>
          <w:p w14:paraId="13A208F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Total</w:t>
            </w:r>
          </w:p>
        </w:tc>
        <w:tc>
          <w:tcPr>
            <w:tcW w:w="680" w:type="pct"/>
            <w:hideMark/>
          </w:tcPr>
          <w:p w14:paraId="4A3E0B13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4</w:t>
            </w:r>
          </w:p>
        </w:tc>
        <w:tc>
          <w:tcPr>
            <w:tcW w:w="1668" w:type="pct"/>
            <w:hideMark/>
          </w:tcPr>
          <w:p w14:paraId="493BA59A" w14:textId="77777777" w:rsidR="008E45B5" w:rsidRPr="008E45B5" w:rsidRDefault="008E45B5" w:rsidP="008E45B5">
            <w:pPr>
              <w:tabs>
                <w:tab w:val="num" w:pos="720"/>
              </w:tabs>
            </w:pPr>
            <w:r w:rsidRPr="008E45B5">
              <w:t> </w:t>
            </w:r>
          </w:p>
        </w:tc>
      </w:tr>
    </w:tbl>
    <w:p w14:paraId="19A81575" w14:textId="77777777" w:rsidR="003A7C9A" w:rsidRDefault="003A7C9A" w:rsidP="003A7C9A">
      <w:pPr>
        <w:rPr>
          <w:b/>
          <w:bCs/>
        </w:rPr>
      </w:pPr>
    </w:p>
    <w:p w14:paraId="429014C6" w14:textId="51252923" w:rsidR="000A7169" w:rsidRPr="003A7C9A" w:rsidRDefault="003A7C9A" w:rsidP="003A7C9A">
      <w:pPr>
        <w:rPr>
          <w:b/>
          <w:bCs/>
        </w:rPr>
      </w:pPr>
      <w:r w:rsidRPr="003A7C9A">
        <w:rPr>
          <w:b/>
          <w:bCs/>
        </w:rPr>
        <w:lastRenderedPageBreak/>
        <w:t>Evaluación de mecanismos financieros</w:t>
      </w:r>
    </w:p>
    <w:p w14:paraId="003E1590" w14:textId="1EFA6E19" w:rsidR="00EE0BA8" w:rsidRDefault="009117B6">
      <w:r>
        <w:t>La evaluación de los dos mecanismos financieros seleccionados</w:t>
      </w:r>
      <w:r w:rsidR="00D22B92">
        <w:t>. PSA vigente y SIPMABE Crédito, fue realizada por el persona</w:t>
      </w:r>
      <w:r w:rsidR="00282D9F">
        <w:t>l</w:t>
      </w:r>
      <w:r w:rsidR="00D22B92">
        <w:t xml:space="preserve"> de FONAFIFO encargado </w:t>
      </w:r>
      <w:r w:rsidR="00282D9F">
        <w:t xml:space="preserve">de crédito y </w:t>
      </w:r>
      <w:r w:rsidR="00A103ED">
        <w:t xml:space="preserve">de </w:t>
      </w:r>
      <w:r w:rsidR="00282D9F">
        <w:t xml:space="preserve">fomento. </w:t>
      </w:r>
    </w:p>
    <w:p w14:paraId="517C5374" w14:textId="24F235EC" w:rsidR="00D51B2A" w:rsidRDefault="00D51B2A">
      <w:r>
        <w:t xml:space="preserve">El mecanismo SIPMABE Crédito obtuvo una mayor valoración </w:t>
      </w:r>
      <w:r w:rsidR="00966177">
        <w:t>en viabilidad técnica</w:t>
      </w:r>
      <w:r w:rsidR="004027A0">
        <w:t>,</w:t>
      </w:r>
      <w:r w:rsidR="00966177">
        <w:t xml:space="preserve"> financiera</w:t>
      </w:r>
      <w:r w:rsidR="004027A0">
        <w:t xml:space="preserve"> y administrativa operativa</w:t>
      </w:r>
      <w:r w:rsidR="008F7F5C">
        <w:t>,</w:t>
      </w:r>
      <w:r w:rsidR="00A01BED">
        <w:t xml:space="preserve"> </w:t>
      </w:r>
      <w:r w:rsidR="00DB6563">
        <w:t>principalmente porque e</w:t>
      </w:r>
      <w:r w:rsidR="00A01BED">
        <w:t xml:space="preserve">l sistema considera dentro de los criterios de evaluación del crédito la cercanía a la industria </w:t>
      </w:r>
      <w:r w:rsidR="00074199">
        <w:t>y la calidad del sitio</w:t>
      </w:r>
      <w:r w:rsidR="00462401">
        <w:t>, s</w:t>
      </w:r>
      <w:r w:rsidR="00F823A6" w:rsidRPr="00F823A6">
        <w:t>olicita indicadores financieros y flujo de caja ligado</w:t>
      </w:r>
      <w:r w:rsidR="00F823A6">
        <w:t>s</w:t>
      </w:r>
      <w:r w:rsidR="00F823A6" w:rsidRPr="00F823A6">
        <w:t xml:space="preserve"> al paquete tecnológico</w:t>
      </w:r>
      <w:r w:rsidR="00086E5C">
        <w:t xml:space="preserve"> y </w:t>
      </w:r>
      <w:r w:rsidR="008E49CB">
        <w:t xml:space="preserve">para este mecanismo, </w:t>
      </w:r>
      <w:r w:rsidR="00DD6DE9">
        <w:t xml:space="preserve">el ente financiador cuenta con </w:t>
      </w:r>
      <w:r w:rsidR="008E49CB">
        <w:t>capacidad para dar seguimiento y control a los proyectos.</w:t>
      </w:r>
    </w:p>
    <w:p w14:paraId="0951923A" w14:textId="6161D4A8" w:rsidR="00D46FD5" w:rsidRDefault="00D46FD5">
      <w:r>
        <w:t>La menor valoración a SIPMABE Crédito en viabilidad legal se atribuye a que el mecanismo c</w:t>
      </w:r>
      <w:r w:rsidR="0065112F">
        <w:t xml:space="preserve">ontempla garantía fiduciaria </w:t>
      </w:r>
      <w:r w:rsidR="00B01329">
        <w:t xml:space="preserve">sin gravamen </w:t>
      </w:r>
      <w:r w:rsidR="0065112F">
        <w:t xml:space="preserve">para </w:t>
      </w:r>
      <w:r w:rsidR="00DC6AEE">
        <w:t xml:space="preserve">créditos </w:t>
      </w:r>
      <w:r w:rsidR="00180E9D">
        <w:t xml:space="preserve">de montos bajos y </w:t>
      </w:r>
      <w:r w:rsidR="00D1196E">
        <w:t>no establece reglas en caso de desastres.</w:t>
      </w:r>
    </w:p>
    <w:p w14:paraId="5C085E03" w14:textId="40DE9FC7" w:rsidR="00C579E4" w:rsidRDefault="00C579E4">
      <w:r>
        <w:t xml:space="preserve">Una deficiencia en ambos </w:t>
      </w:r>
      <w:r w:rsidR="00EA3F2B">
        <w:t xml:space="preserve">mecanismos es la no exigencia de seguros </w:t>
      </w:r>
      <w:r w:rsidR="00896A4C">
        <w:t>por mortalidad</w:t>
      </w:r>
      <w:r w:rsidR="00483B10">
        <w:t xml:space="preserve"> de plantas</w:t>
      </w:r>
      <w:r w:rsidR="00896A4C">
        <w:t>.</w:t>
      </w:r>
    </w:p>
    <w:tbl>
      <w:tblPr>
        <w:tblStyle w:val="Tabladelista3-nfasis1"/>
        <w:tblW w:w="5000" w:type="pct"/>
        <w:tblLook w:val="0420" w:firstRow="1" w:lastRow="0" w:firstColumn="0" w:lastColumn="0" w:noHBand="0" w:noVBand="1"/>
      </w:tblPr>
      <w:tblGrid>
        <w:gridCol w:w="2881"/>
        <w:gridCol w:w="2036"/>
        <w:gridCol w:w="2036"/>
        <w:gridCol w:w="1875"/>
      </w:tblGrid>
      <w:tr w:rsidR="00EE0BA8" w:rsidRPr="00EE0BA8" w14:paraId="011A0075" w14:textId="77777777" w:rsidTr="001E5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tcW w:w="1632" w:type="pct"/>
            <w:hideMark/>
          </w:tcPr>
          <w:p w14:paraId="09FA29B0" w14:textId="77777777" w:rsidR="00EE0BA8" w:rsidRPr="00EE0BA8" w:rsidRDefault="00EE0BA8" w:rsidP="00EE0BA8">
            <w:r w:rsidRPr="00EE0BA8">
              <w:t xml:space="preserve">Componente </w:t>
            </w:r>
          </w:p>
        </w:tc>
        <w:tc>
          <w:tcPr>
            <w:tcW w:w="1153" w:type="pct"/>
          </w:tcPr>
          <w:p w14:paraId="75583910" w14:textId="314F3C7D" w:rsidR="00EE0BA8" w:rsidRPr="00EE0BA8" w:rsidRDefault="00EE0BA8" w:rsidP="00EE0BA8">
            <w:pPr>
              <w:rPr>
                <w:b w:val="0"/>
                <w:bCs w:val="0"/>
              </w:rPr>
            </w:pPr>
            <w:r w:rsidRPr="00047F44">
              <w:t>Peso promedio Final (%)</w:t>
            </w:r>
          </w:p>
        </w:tc>
        <w:tc>
          <w:tcPr>
            <w:tcW w:w="1153" w:type="pct"/>
            <w:hideMark/>
          </w:tcPr>
          <w:p w14:paraId="5D1E0839" w14:textId="4E83AB39" w:rsidR="00EE0BA8" w:rsidRPr="00EE0BA8" w:rsidRDefault="00EE0BA8" w:rsidP="00EE0BA8">
            <w:r w:rsidRPr="00EE0BA8">
              <w:t>PSA vigente</w:t>
            </w:r>
          </w:p>
        </w:tc>
        <w:tc>
          <w:tcPr>
            <w:tcW w:w="1062" w:type="pct"/>
            <w:hideMark/>
          </w:tcPr>
          <w:p w14:paraId="642E50E4" w14:textId="77777777" w:rsidR="00EE0BA8" w:rsidRPr="00EE0BA8" w:rsidRDefault="00EE0BA8" w:rsidP="00EE0BA8">
            <w:r w:rsidRPr="00EE0BA8">
              <w:t>SIPMABE</w:t>
            </w:r>
          </w:p>
          <w:p w14:paraId="5FE22107" w14:textId="2F8C9EA9" w:rsidR="00EE0BA8" w:rsidRPr="00EE0BA8" w:rsidRDefault="00EE0BA8" w:rsidP="00EE0BA8">
            <w:r w:rsidRPr="00EE0BA8">
              <w:t>Crédito</w:t>
            </w:r>
          </w:p>
        </w:tc>
      </w:tr>
      <w:tr w:rsidR="00EE0BA8" w:rsidRPr="00EE0BA8" w14:paraId="4BB19717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1632" w:type="pct"/>
            <w:hideMark/>
          </w:tcPr>
          <w:p w14:paraId="5D904618" w14:textId="77777777" w:rsidR="00EE0BA8" w:rsidRPr="00EE0BA8" w:rsidRDefault="00EE0BA8" w:rsidP="00EE0BA8">
            <w:r w:rsidRPr="00EE0BA8">
              <w:t xml:space="preserve">Viabilidad técnica </w:t>
            </w:r>
          </w:p>
        </w:tc>
        <w:tc>
          <w:tcPr>
            <w:tcW w:w="1153" w:type="pct"/>
          </w:tcPr>
          <w:p w14:paraId="3592326C" w14:textId="47D065AB" w:rsidR="00EE0BA8" w:rsidRPr="00EE0BA8" w:rsidRDefault="00EE0BA8" w:rsidP="00EE0BA8">
            <w:r w:rsidRPr="00047F44">
              <w:t>25</w:t>
            </w:r>
          </w:p>
        </w:tc>
        <w:tc>
          <w:tcPr>
            <w:tcW w:w="1153" w:type="pct"/>
            <w:hideMark/>
          </w:tcPr>
          <w:p w14:paraId="02DDEC67" w14:textId="236AAF08" w:rsidR="00EE0BA8" w:rsidRPr="00EE0BA8" w:rsidRDefault="00EE0BA8" w:rsidP="00EE0BA8">
            <w:r w:rsidRPr="00EE0BA8">
              <w:t>11</w:t>
            </w:r>
          </w:p>
        </w:tc>
        <w:tc>
          <w:tcPr>
            <w:tcW w:w="1062" w:type="pct"/>
            <w:hideMark/>
          </w:tcPr>
          <w:p w14:paraId="16C2D6A8" w14:textId="77777777" w:rsidR="00EE0BA8" w:rsidRPr="00EE0BA8" w:rsidRDefault="00EE0BA8" w:rsidP="00EE0BA8">
            <w:r w:rsidRPr="00EE0BA8">
              <w:t>21</w:t>
            </w:r>
          </w:p>
        </w:tc>
      </w:tr>
      <w:tr w:rsidR="00EE0BA8" w:rsidRPr="00EE0BA8" w14:paraId="08B0C96C" w14:textId="77777777" w:rsidTr="001E5756">
        <w:trPr>
          <w:trHeight w:val="299"/>
        </w:trPr>
        <w:tc>
          <w:tcPr>
            <w:tcW w:w="1632" w:type="pct"/>
            <w:hideMark/>
          </w:tcPr>
          <w:p w14:paraId="76FE36B4" w14:textId="77777777" w:rsidR="00EE0BA8" w:rsidRPr="00EE0BA8" w:rsidRDefault="00EE0BA8" w:rsidP="00EE0BA8">
            <w:r w:rsidRPr="00EE0BA8">
              <w:t xml:space="preserve">Viabilidad financiera </w:t>
            </w:r>
          </w:p>
        </w:tc>
        <w:tc>
          <w:tcPr>
            <w:tcW w:w="1153" w:type="pct"/>
          </w:tcPr>
          <w:p w14:paraId="4908FB81" w14:textId="20D93E4B" w:rsidR="00EE0BA8" w:rsidRPr="00EE0BA8" w:rsidRDefault="00EE0BA8" w:rsidP="00EE0BA8">
            <w:r w:rsidRPr="00047F44">
              <w:t>25</w:t>
            </w:r>
          </w:p>
        </w:tc>
        <w:tc>
          <w:tcPr>
            <w:tcW w:w="1153" w:type="pct"/>
            <w:hideMark/>
          </w:tcPr>
          <w:p w14:paraId="11858012" w14:textId="4AA606FA" w:rsidR="00EE0BA8" w:rsidRPr="00EE0BA8" w:rsidRDefault="00EE0BA8" w:rsidP="00EE0BA8">
            <w:r w:rsidRPr="00EE0BA8">
              <w:t>14</w:t>
            </w:r>
          </w:p>
        </w:tc>
        <w:tc>
          <w:tcPr>
            <w:tcW w:w="1062" w:type="pct"/>
            <w:hideMark/>
          </w:tcPr>
          <w:p w14:paraId="498EDC93" w14:textId="77777777" w:rsidR="00EE0BA8" w:rsidRPr="00EE0BA8" w:rsidRDefault="00EE0BA8" w:rsidP="00EE0BA8">
            <w:r w:rsidRPr="00EE0BA8">
              <w:t>18</w:t>
            </w:r>
          </w:p>
        </w:tc>
      </w:tr>
      <w:tr w:rsidR="00EE0BA8" w:rsidRPr="00EE0BA8" w14:paraId="1FF4F400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tcW w:w="1632" w:type="pct"/>
            <w:hideMark/>
          </w:tcPr>
          <w:p w14:paraId="012BFBCC" w14:textId="77777777" w:rsidR="00EE0BA8" w:rsidRPr="00EE0BA8" w:rsidRDefault="00EE0BA8" w:rsidP="00EE0BA8">
            <w:r w:rsidRPr="00EE0BA8">
              <w:t>Viabilidad legal</w:t>
            </w:r>
          </w:p>
        </w:tc>
        <w:tc>
          <w:tcPr>
            <w:tcW w:w="1153" w:type="pct"/>
          </w:tcPr>
          <w:p w14:paraId="052BD69C" w14:textId="49378FAC" w:rsidR="00EE0BA8" w:rsidRPr="00EE0BA8" w:rsidRDefault="00EE0BA8" w:rsidP="00EE0BA8">
            <w:r w:rsidRPr="00047F44">
              <w:t>20</w:t>
            </w:r>
          </w:p>
        </w:tc>
        <w:tc>
          <w:tcPr>
            <w:tcW w:w="1153" w:type="pct"/>
            <w:hideMark/>
          </w:tcPr>
          <w:p w14:paraId="0F676022" w14:textId="13D86562" w:rsidR="00EE0BA8" w:rsidRPr="00EE0BA8" w:rsidRDefault="00EE0BA8" w:rsidP="00EE0BA8">
            <w:r w:rsidRPr="00EE0BA8">
              <w:t>20</w:t>
            </w:r>
          </w:p>
        </w:tc>
        <w:tc>
          <w:tcPr>
            <w:tcW w:w="1062" w:type="pct"/>
            <w:hideMark/>
          </w:tcPr>
          <w:p w14:paraId="0BDFB37A" w14:textId="77777777" w:rsidR="00EE0BA8" w:rsidRPr="00EE0BA8" w:rsidRDefault="00EE0BA8" w:rsidP="00EE0BA8">
            <w:r w:rsidRPr="00EE0BA8">
              <w:t>9</w:t>
            </w:r>
          </w:p>
        </w:tc>
      </w:tr>
      <w:tr w:rsidR="00EE0BA8" w:rsidRPr="00EE0BA8" w14:paraId="0DE583E9" w14:textId="77777777" w:rsidTr="001E5756">
        <w:trPr>
          <w:trHeight w:val="597"/>
        </w:trPr>
        <w:tc>
          <w:tcPr>
            <w:tcW w:w="1632" w:type="pct"/>
            <w:hideMark/>
          </w:tcPr>
          <w:p w14:paraId="13416753" w14:textId="77777777" w:rsidR="00EE0BA8" w:rsidRPr="00EE0BA8" w:rsidRDefault="00EE0BA8" w:rsidP="00EE0BA8">
            <w:r w:rsidRPr="00EE0BA8">
              <w:t>Viabilidad administrativa-operativa</w:t>
            </w:r>
          </w:p>
        </w:tc>
        <w:tc>
          <w:tcPr>
            <w:tcW w:w="1153" w:type="pct"/>
          </w:tcPr>
          <w:p w14:paraId="273D47B5" w14:textId="738F9DCF" w:rsidR="00EE0BA8" w:rsidRPr="00EE0BA8" w:rsidRDefault="00EE0BA8" w:rsidP="00EE0BA8">
            <w:r w:rsidRPr="00047F44">
              <w:t>20</w:t>
            </w:r>
          </w:p>
        </w:tc>
        <w:tc>
          <w:tcPr>
            <w:tcW w:w="1153" w:type="pct"/>
            <w:hideMark/>
          </w:tcPr>
          <w:p w14:paraId="4F25A9A4" w14:textId="1BDA1CEF" w:rsidR="00EE0BA8" w:rsidRPr="00EE0BA8" w:rsidRDefault="00EE0BA8" w:rsidP="00EE0BA8">
            <w:r w:rsidRPr="00EE0BA8">
              <w:t>14</w:t>
            </w:r>
          </w:p>
        </w:tc>
        <w:tc>
          <w:tcPr>
            <w:tcW w:w="1062" w:type="pct"/>
            <w:hideMark/>
          </w:tcPr>
          <w:p w14:paraId="72E9C989" w14:textId="77777777" w:rsidR="00EE0BA8" w:rsidRPr="00EE0BA8" w:rsidRDefault="00EE0BA8" w:rsidP="00EE0BA8">
            <w:r w:rsidRPr="00EE0BA8">
              <w:t>17</w:t>
            </w:r>
          </w:p>
        </w:tc>
      </w:tr>
      <w:tr w:rsidR="00EE0BA8" w:rsidRPr="00EE0BA8" w14:paraId="2CA769BE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tcW w:w="1632" w:type="pct"/>
            <w:hideMark/>
          </w:tcPr>
          <w:p w14:paraId="39022DEE" w14:textId="77777777" w:rsidR="00EE0BA8" w:rsidRPr="00EE0BA8" w:rsidRDefault="00EE0BA8" w:rsidP="00EE0BA8">
            <w:r w:rsidRPr="00EE0BA8">
              <w:t xml:space="preserve">Viabilidad cultural </w:t>
            </w:r>
          </w:p>
        </w:tc>
        <w:tc>
          <w:tcPr>
            <w:tcW w:w="1153" w:type="pct"/>
          </w:tcPr>
          <w:p w14:paraId="6B8911CB" w14:textId="67A616B7" w:rsidR="00EE0BA8" w:rsidRPr="00EE0BA8" w:rsidRDefault="00EE0BA8" w:rsidP="00EE0BA8">
            <w:r w:rsidRPr="00047F44">
              <w:t>6</w:t>
            </w:r>
          </w:p>
        </w:tc>
        <w:tc>
          <w:tcPr>
            <w:tcW w:w="1153" w:type="pct"/>
            <w:hideMark/>
          </w:tcPr>
          <w:p w14:paraId="23A8C45A" w14:textId="3BAFC9DD" w:rsidR="00EE0BA8" w:rsidRPr="00EE0BA8" w:rsidRDefault="00EE0BA8" w:rsidP="00EE0BA8">
            <w:r w:rsidRPr="00EE0BA8">
              <w:t>6</w:t>
            </w:r>
          </w:p>
        </w:tc>
        <w:tc>
          <w:tcPr>
            <w:tcW w:w="1062" w:type="pct"/>
            <w:hideMark/>
          </w:tcPr>
          <w:p w14:paraId="1C816FB6" w14:textId="77777777" w:rsidR="00EE0BA8" w:rsidRPr="00EE0BA8" w:rsidRDefault="00EE0BA8" w:rsidP="00EE0BA8">
            <w:r w:rsidRPr="00EE0BA8">
              <w:t>6</w:t>
            </w:r>
          </w:p>
        </w:tc>
      </w:tr>
      <w:tr w:rsidR="00EE0BA8" w:rsidRPr="00EE0BA8" w14:paraId="16224155" w14:textId="77777777" w:rsidTr="001E5756">
        <w:trPr>
          <w:trHeight w:val="331"/>
        </w:trPr>
        <w:tc>
          <w:tcPr>
            <w:tcW w:w="1632" w:type="pct"/>
            <w:hideMark/>
          </w:tcPr>
          <w:p w14:paraId="2D906296" w14:textId="77777777" w:rsidR="00EE0BA8" w:rsidRPr="00EE0BA8" w:rsidRDefault="00EE0BA8" w:rsidP="00EE0BA8">
            <w:r w:rsidRPr="00EE0BA8">
              <w:t>Viabilidad ambiental</w:t>
            </w:r>
          </w:p>
        </w:tc>
        <w:tc>
          <w:tcPr>
            <w:tcW w:w="1153" w:type="pct"/>
          </w:tcPr>
          <w:p w14:paraId="01F1737C" w14:textId="69C268E2" w:rsidR="00EE0BA8" w:rsidRPr="00EE0BA8" w:rsidRDefault="00EE0BA8" w:rsidP="00EE0BA8">
            <w:r w:rsidRPr="00047F44">
              <w:t>4</w:t>
            </w:r>
          </w:p>
        </w:tc>
        <w:tc>
          <w:tcPr>
            <w:tcW w:w="1153" w:type="pct"/>
            <w:hideMark/>
          </w:tcPr>
          <w:p w14:paraId="1722CFB0" w14:textId="3FEA2440" w:rsidR="00EE0BA8" w:rsidRPr="00EE0BA8" w:rsidRDefault="00EE0BA8" w:rsidP="00EE0BA8">
            <w:r w:rsidRPr="00EE0BA8">
              <w:t>4</w:t>
            </w:r>
          </w:p>
        </w:tc>
        <w:tc>
          <w:tcPr>
            <w:tcW w:w="1062" w:type="pct"/>
            <w:hideMark/>
          </w:tcPr>
          <w:p w14:paraId="2D865972" w14:textId="77777777" w:rsidR="00EE0BA8" w:rsidRPr="00EE0BA8" w:rsidRDefault="00EE0BA8" w:rsidP="00EE0BA8">
            <w:r w:rsidRPr="00EE0BA8">
              <w:t>4</w:t>
            </w:r>
          </w:p>
        </w:tc>
      </w:tr>
      <w:tr w:rsidR="00EE0BA8" w:rsidRPr="00EE0BA8" w14:paraId="39E35F60" w14:textId="77777777" w:rsidTr="001E5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tcW w:w="1632" w:type="pct"/>
            <w:hideMark/>
          </w:tcPr>
          <w:p w14:paraId="3B312854" w14:textId="77777777" w:rsidR="00EE0BA8" w:rsidRPr="00EE0BA8" w:rsidRDefault="00EE0BA8" w:rsidP="00EE0BA8">
            <w:r w:rsidRPr="00EE0BA8">
              <w:rPr>
                <w:b/>
                <w:bCs/>
              </w:rPr>
              <w:t>Total</w:t>
            </w:r>
          </w:p>
        </w:tc>
        <w:tc>
          <w:tcPr>
            <w:tcW w:w="1153" w:type="pct"/>
          </w:tcPr>
          <w:p w14:paraId="549BEE53" w14:textId="623E9059" w:rsidR="00EE0BA8" w:rsidRPr="00EE0BA8" w:rsidRDefault="00EE0BA8" w:rsidP="00EE0BA8">
            <w:pPr>
              <w:rPr>
                <w:b/>
                <w:bCs/>
              </w:rPr>
            </w:pPr>
            <w:r w:rsidRPr="00047F44">
              <w:t>100</w:t>
            </w:r>
          </w:p>
        </w:tc>
        <w:tc>
          <w:tcPr>
            <w:tcW w:w="1153" w:type="pct"/>
            <w:hideMark/>
          </w:tcPr>
          <w:p w14:paraId="67E4FF2C" w14:textId="4F8451D7" w:rsidR="00EE0BA8" w:rsidRPr="00EE0BA8" w:rsidRDefault="00EE0BA8" w:rsidP="00EE0BA8">
            <w:r w:rsidRPr="00EE0BA8">
              <w:rPr>
                <w:b/>
                <w:bCs/>
              </w:rPr>
              <w:t>69</w:t>
            </w:r>
          </w:p>
        </w:tc>
        <w:tc>
          <w:tcPr>
            <w:tcW w:w="1062" w:type="pct"/>
            <w:hideMark/>
          </w:tcPr>
          <w:p w14:paraId="571E20F6" w14:textId="77777777" w:rsidR="00EE0BA8" w:rsidRPr="00EE0BA8" w:rsidRDefault="00EE0BA8" w:rsidP="00EE0BA8">
            <w:r w:rsidRPr="00EE0BA8">
              <w:rPr>
                <w:b/>
                <w:bCs/>
              </w:rPr>
              <w:t>75</w:t>
            </w:r>
          </w:p>
        </w:tc>
      </w:tr>
    </w:tbl>
    <w:p w14:paraId="3F4B74D7" w14:textId="77777777" w:rsidR="00EE0BA8" w:rsidRDefault="00EE0BA8"/>
    <w:p w14:paraId="2B18A9E9" w14:textId="315C7D64" w:rsidR="00A17BC3" w:rsidRDefault="00AC1E58">
      <w:r>
        <w:t>Como actividad complementaria a la evaluación</w:t>
      </w:r>
      <w:r w:rsidR="00A103ED">
        <w:t xml:space="preserve">, </w:t>
      </w:r>
      <w:r w:rsidR="00A17BC3">
        <w:t xml:space="preserve">se realizó un análisis de percepción </w:t>
      </w:r>
      <w:r w:rsidR="008D1E28">
        <w:t>sobre el nuevo mecanismo de financiamiento</w:t>
      </w:r>
      <w:r w:rsidR="00C16BEF">
        <w:t xml:space="preserve"> con productores de la zona norte del país que habían manifestado interés en reforestar</w:t>
      </w:r>
      <w:r w:rsidR="003A272D">
        <w:t xml:space="preserve">. </w:t>
      </w:r>
      <w:r w:rsidR="00F80BD6">
        <w:t>Con este estudio se confir</w:t>
      </w:r>
      <w:r w:rsidR="00211E7D">
        <w:t>mó que</w:t>
      </w:r>
      <w:r w:rsidR="00440600">
        <w:t xml:space="preserve"> las condiciones de financiamiento ofrecidas por el </w:t>
      </w:r>
      <w:r w:rsidR="00211E7D">
        <w:t xml:space="preserve">SIPMABE </w:t>
      </w:r>
      <w:r w:rsidR="00440600">
        <w:t>Crédito eran atractivas especialmente para los medianos productores</w:t>
      </w:r>
      <w:r w:rsidR="00FE39C3">
        <w:t>, esta constituye una validación de usuario</w:t>
      </w:r>
      <w:r w:rsidR="004A098E">
        <w:t>.</w:t>
      </w:r>
    </w:p>
    <w:p w14:paraId="722E80AA" w14:textId="3A249E23" w:rsidR="004A098E" w:rsidRDefault="004A098E">
      <w:r>
        <w:rPr>
          <w:noProof/>
        </w:rPr>
        <w:lastRenderedPageBreak/>
        <w:drawing>
          <wp:inline distT="0" distB="0" distL="0" distR="0" wp14:anchorId="662FEE44" wp14:editId="0E8EB4B8">
            <wp:extent cx="5604769" cy="3384550"/>
            <wp:effectExtent l="0" t="0" r="0" b="6350"/>
            <wp:docPr id="1382284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028" cy="33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E5D86" w14:textId="6D1973AB" w:rsidR="000C16A2" w:rsidRDefault="000C16A2">
      <w:r>
        <w:t>Enfoque de cadena de valor adoptado para la promoción de SIPMABE Crédito</w:t>
      </w:r>
      <w:r w:rsidR="006457F6">
        <w:t xml:space="preserve">. </w:t>
      </w:r>
      <w:r w:rsidR="006457F6" w:rsidRPr="00520869">
        <w:rPr>
          <w:i/>
          <w:iCs/>
        </w:rPr>
        <w:t>©</w:t>
      </w:r>
      <w:r w:rsidRPr="00520869">
        <w:rPr>
          <w:i/>
          <w:iCs/>
        </w:rPr>
        <w:t>Maribel Jiménez Montero</w:t>
      </w:r>
    </w:p>
    <w:p w14:paraId="66C5E710" w14:textId="48466BE1" w:rsidR="00882CA7" w:rsidRPr="00673C92" w:rsidRDefault="00882CA7" w:rsidP="00882CA7">
      <w:pPr>
        <w:rPr>
          <w:b/>
          <w:bCs/>
        </w:rPr>
      </w:pPr>
      <w:r w:rsidRPr="00673C92">
        <w:rPr>
          <w:b/>
          <w:bCs/>
        </w:rPr>
        <w:t>¿Qué es SIPMABE</w:t>
      </w:r>
      <w:r w:rsidR="00BC13BC">
        <w:rPr>
          <w:b/>
          <w:bCs/>
        </w:rPr>
        <w:t xml:space="preserve"> Crédito</w:t>
      </w:r>
      <w:r w:rsidRPr="00673C92">
        <w:rPr>
          <w:b/>
          <w:bCs/>
        </w:rPr>
        <w:t>?</w:t>
      </w:r>
    </w:p>
    <w:p w14:paraId="602B1EF5" w14:textId="0D2D0D60" w:rsidR="00882CA7" w:rsidRDefault="006C34DF">
      <w:r w:rsidRPr="006C34DF">
        <w:t>El Sistema Productivo de Madera a Baja Escala</w:t>
      </w:r>
      <w:r w:rsidR="00D02697">
        <w:t xml:space="preserve">, SIPMABE, </w:t>
      </w:r>
      <w:r w:rsidRPr="006C34DF">
        <w:t xml:space="preserve">es un programa </w:t>
      </w:r>
      <w:r w:rsidR="00A7678C">
        <w:t>de</w:t>
      </w:r>
      <w:r w:rsidRPr="006C34DF">
        <w:t xml:space="preserve">l </w:t>
      </w:r>
      <w:r w:rsidR="008573A5">
        <w:t>F</w:t>
      </w:r>
      <w:r w:rsidR="00E754BA">
        <w:t>ONAFIFO</w:t>
      </w:r>
      <w:r w:rsidR="00A7678C">
        <w:t xml:space="preserve"> </w:t>
      </w:r>
      <w:r w:rsidRPr="006C34DF">
        <w:t>para fomentar la producción sostenible de madera y apoyar a pequeños y medianos productores. Este sistema busca abastecer el mercado local con madera de rápido crecimiento</w:t>
      </w:r>
      <w:r w:rsidR="006762D6">
        <w:t xml:space="preserve"> con metas de productiv</w:t>
      </w:r>
      <w:r w:rsidR="00471E4A">
        <w:t>idad</w:t>
      </w:r>
      <w:r w:rsidRPr="006C34DF">
        <w:t>, mejorar la economía rural y contribuir a la mitigación de gases de efecto invernadero</w:t>
      </w:r>
      <w:r w:rsidR="00A7678C">
        <w:t>.</w:t>
      </w:r>
      <w:r w:rsidR="00E903B9">
        <w:t xml:space="preserve"> Cuenta con dos modalidades: </w:t>
      </w:r>
      <w:r w:rsidR="00244DA5">
        <w:t>un</w:t>
      </w:r>
      <w:r w:rsidR="003D052C">
        <w:t>a</w:t>
      </w:r>
      <w:r w:rsidR="00244DA5">
        <w:t xml:space="preserve"> para el </w:t>
      </w:r>
      <w:r w:rsidR="00EE3203">
        <w:t xml:space="preserve">pago por </w:t>
      </w:r>
      <w:r w:rsidR="00244DA5">
        <w:t>servicios ambientales</w:t>
      </w:r>
      <w:r w:rsidR="00EE3203">
        <w:t xml:space="preserve"> de árboles </w:t>
      </w:r>
      <w:r w:rsidR="00312FC5">
        <w:t xml:space="preserve">plantados en sistemas agroforestales y otro </w:t>
      </w:r>
      <w:r w:rsidR="00A85066">
        <w:t>que</w:t>
      </w:r>
      <w:r w:rsidR="00312FC5">
        <w:t xml:space="preserve"> otorga crédito </w:t>
      </w:r>
      <w:r w:rsidR="003D052C">
        <w:t xml:space="preserve">vinculado con </w:t>
      </w:r>
      <w:r w:rsidR="00312FC5">
        <w:t>el PSA</w:t>
      </w:r>
      <w:r w:rsidR="00EC12D3" w:rsidRPr="00EC12D3">
        <w:t xml:space="preserve"> </w:t>
      </w:r>
      <w:r w:rsidR="00EC12D3">
        <w:t>para el establecimiento de plantaciones</w:t>
      </w:r>
      <w:r w:rsidR="00E03B6C">
        <w:t xml:space="preserve"> </w:t>
      </w:r>
      <w:r w:rsidR="00E03B6C" w:rsidRPr="00D07E17">
        <w:t xml:space="preserve">de 5 a </w:t>
      </w:r>
      <w:r w:rsidR="0066626F" w:rsidRPr="00D07E17">
        <w:t>25 ha.</w:t>
      </w:r>
    </w:p>
    <w:p w14:paraId="1EC0A4A6" w14:textId="294C4AE0" w:rsidR="00487249" w:rsidRPr="00393964" w:rsidRDefault="000C14EC" w:rsidP="00B314FC">
      <w:r>
        <w:t xml:space="preserve">Con </w:t>
      </w:r>
      <w:r w:rsidR="00312FC5">
        <w:t>la segunda modalidad</w:t>
      </w:r>
      <w:r>
        <w:t>, el productor</w:t>
      </w:r>
      <w:r w:rsidR="000A51C8">
        <w:t xml:space="preserve"> recibe </w:t>
      </w:r>
      <w:r w:rsidR="0045753A">
        <w:t>un crédito</w:t>
      </w:r>
      <w:r w:rsidR="00B42681">
        <w:t xml:space="preserve"> </w:t>
      </w:r>
      <w:r w:rsidR="0061348A">
        <w:t xml:space="preserve">a </w:t>
      </w:r>
      <w:r w:rsidR="0061348A" w:rsidRPr="00D07E17">
        <w:t xml:space="preserve">una tasa fija del 5% </w:t>
      </w:r>
      <w:r w:rsidR="00A36091" w:rsidRPr="00D07E17">
        <w:t>por un</w:t>
      </w:r>
      <w:r w:rsidR="00A36091">
        <w:t xml:space="preserve"> máximo </w:t>
      </w:r>
      <w:r w:rsidR="00A36091" w:rsidRPr="00D07E17">
        <w:t xml:space="preserve">de 7 años, </w:t>
      </w:r>
      <w:r w:rsidR="00B42681" w:rsidRPr="00D07E17">
        <w:t>para</w:t>
      </w:r>
      <w:r w:rsidR="00B42681">
        <w:t xml:space="preserve"> </w:t>
      </w:r>
      <w:r w:rsidR="005714F4">
        <w:t>plantar árboles de</w:t>
      </w:r>
      <w:r w:rsidR="003B12D9">
        <w:t xml:space="preserve"> rápido crecimiento, </w:t>
      </w:r>
      <w:r w:rsidR="001A23AA">
        <w:t>específicamente melina (</w:t>
      </w:r>
      <w:r w:rsidR="007A551F" w:rsidRPr="001A23AA">
        <w:rPr>
          <w:i/>
          <w:iCs/>
        </w:rPr>
        <w:t>Gmelina arborea</w:t>
      </w:r>
      <w:r w:rsidR="001A23AA">
        <w:t>)</w:t>
      </w:r>
      <w:r w:rsidR="00B20D9D">
        <w:t>. El primer desembolso</w:t>
      </w:r>
      <w:r w:rsidR="00325B46">
        <w:t xml:space="preserve"> </w:t>
      </w:r>
      <w:r w:rsidR="00F447A4" w:rsidRPr="00D07E17">
        <w:t xml:space="preserve">del crédito </w:t>
      </w:r>
      <w:r w:rsidR="00325B46" w:rsidRPr="00D07E17">
        <w:t xml:space="preserve">se otorga </w:t>
      </w:r>
      <w:r w:rsidR="00CA0A7B" w:rsidRPr="00D07E17">
        <w:t xml:space="preserve">tres meses antes de establecer la plantación y corresponde </w:t>
      </w:r>
      <w:r w:rsidR="00EC6E10" w:rsidRPr="00D07E17">
        <w:t>al 70% del contrato</w:t>
      </w:r>
      <w:r w:rsidR="00B876CD">
        <w:t xml:space="preserve">, esto </w:t>
      </w:r>
      <w:r w:rsidR="006949CC">
        <w:t xml:space="preserve">con el fin de </w:t>
      </w:r>
      <w:r w:rsidR="00EC6E10">
        <w:t xml:space="preserve">garantizar </w:t>
      </w:r>
      <w:r w:rsidR="00C41EF1">
        <w:t xml:space="preserve">la realización de todas las prácticas culturales necesaria para </w:t>
      </w:r>
      <w:r w:rsidR="00D31B65">
        <w:t>tener una plantación de calidad</w:t>
      </w:r>
      <w:r w:rsidR="00BE244F">
        <w:t xml:space="preserve">. </w:t>
      </w:r>
      <w:r w:rsidR="007932BB">
        <w:t xml:space="preserve">Con el mismo objetivo, </w:t>
      </w:r>
      <w:r w:rsidR="00A05AC5">
        <w:t xml:space="preserve">se hacer </w:t>
      </w:r>
      <w:r w:rsidR="007932BB">
        <w:t>un segundo desembolso del</w:t>
      </w:r>
      <w:r w:rsidR="00A05AC5">
        <w:t xml:space="preserve"> 15% al año 1</w:t>
      </w:r>
      <w:r w:rsidR="00B51378">
        <w:t xml:space="preserve">; </w:t>
      </w:r>
      <w:r w:rsidR="00A05AC5">
        <w:t xml:space="preserve">el </w:t>
      </w:r>
      <w:r w:rsidR="00B51378">
        <w:t>15% restante se</w:t>
      </w:r>
      <w:r w:rsidR="00A05AC5">
        <w:t xml:space="preserve"> realiza en el año </w:t>
      </w:r>
      <w:r w:rsidR="00B51378">
        <w:t>4</w:t>
      </w:r>
      <w:r w:rsidR="00294B7E">
        <w:t xml:space="preserve"> previendo raleos</w:t>
      </w:r>
      <w:r w:rsidR="00B51378">
        <w:t xml:space="preserve">. </w:t>
      </w:r>
      <w:r w:rsidR="00CF0AC4">
        <w:t>E</w:t>
      </w:r>
      <w:r w:rsidR="00CF0AC4" w:rsidRPr="00CF0AC4">
        <w:t>l monto total del crédito se determina en función del número de árboles establecidos por el productor, aplicando una tasa de</w:t>
      </w:r>
      <w:r w:rsidR="00D07E17">
        <w:t xml:space="preserve"> USD 3,27</w:t>
      </w:r>
      <w:r w:rsidR="00CF0AC4" w:rsidRPr="00CF0AC4">
        <w:t xml:space="preserve"> por árbol</w:t>
      </w:r>
      <w:r w:rsidR="000769A0">
        <w:t xml:space="preserve">, permitiéndose distanciamientos de </w:t>
      </w:r>
      <w:r w:rsidR="000769A0" w:rsidRPr="00393964">
        <w:t>3</w:t>
      </w:r>
      <w:r w:rsidR="009257E5">
        <w:t xml:space="preserve"> </w:t>
      </w:r>
      <w:r w:rsidR="000769A0" w:rsidRPr="00393964">
        <w:t>m x 4 m, 3,5</w:t>
      </w:r>
      <w:r w:rsidR="009257E5">
        <w:t xml:space="preserve"> </w:t>
      </w:r>
      <w:r w:rsidR="000769A0" w:rsidRPr="00393964">
        <w:t>m x 4</w:t>
      </w:r>
      <w:r w:rsidR="009257E5">
        <w:t xml:space="preserve"> </w:t>
      </w:r>
      <w:r w:rsidR="000769A0" w:rsidRPr="00393964">
        <w:t>m y 4</w:t>
      </w:r>
      <w:r w:rsidR="009257E5">
        <w:t xml:space="preserve"> </w:t>
      </w:r>
      <w:r w:rsidR="000769A0" w:rsidRPr="00393964">
        <w:t>m x 4</w:t>
      </w:r>
      <w:r w:rsidR="009257E5">
        <w:t xml:space="preserve"> </w:t>
      </w:r>
      <w:r w:rsidR="000769A0" w:rsidRPr="00393964">
        <w:t>m</w:t>
      </w:r>
      <w:r w:rsidR="00D07E17">
        <w:t>.</w:t>
      </w:r>
    </w:p>
    <w:p w14:paraId="45DDF8E3" w14:textId="6EDF9D62" w:rsidR="001113D7" w:rsidRDefault="001113D7">
      <w:r>
        <w:t xml:space="preserve">La </w:t>
      </w:r>
      <w:r w:rsidR="009F60C3">
        <w:t xml:space="preserve">formalización del contrato incluye además el reconocimiento por los servicios ambientales que genera el establecimiento </w:t>
      </w:r>
      <w:r w:rsidR="006C3F91">
        <w:t>de los árboles</w:t>
      </w:r>
      <w:r w:rsidR="009F60C3">
        <w:t xml:space="preserve">, </w:t>
      </w:r>
      <w:r w:rsidR="003E1DFB">
        <w:t>reconociéndose un monto de</w:t>
      </w:r>
      <w:r w:rsidR="00D07E17">
        <w:t xml:space="preserve"> USD 3,00</w:t>
      </w:r>
      <w:r w:rsidR="003E1DFB">
        <w:t xml:space="preserve"> </w:t>
      </w:r>
      <w:r w:rsidR="000E2903">
        <w:t xml:space="preserve">por árbol para un máximo de </w:t>
      </w:r>
      <w:r w:rsidR="006129DF" w:rsidRPr="00D07E17">
        <w:t xml:space="preserve">15 mil árboles por contrato, </w:t>
      </w:r>
      <w:r w:rsidR="009F60C3" w:rsidRPr="00D07E17">
        <w:t>con lo cual,</w:t>
      </w:r>
      <w:r w:rsidR="00344E36" w:rsidRPr="00D07E17">
        <w:t xml:space="preserve"> el monto equivalente al PSA </w:t>
      </w:r>
      <w:r w:rsidR="00D310D4" w:rsidRPr="00D07E17">
        <w:t>cub</w:t>
      </w:r>
      <w:r w:rsidR="00EE327B" w:rsidRPr="00D07E17">
        <w:t>re</w:t>
      </w:r>
      <w:r w:rsidR="00344E36" w:rsidRPr="00D07E17">
        <w:t xml:space="preserve"> los intereses del crédito</w:t>
      </w:r>
      <w:r w:rsidR="00C01CA3" w:rsidRPr="00D07E17">
        <w:t xml:space="preserve"> y </w:t>
      </w:r>
      <w:r w:rsidR="006243A6" w:rsidRPr="00D07E17">
        <w:t xml:space="preserve">cerca del </w:t>
      </w:r>
      <w:r w:rsidR="00C01CA3" w:rsidRPr="00D07E17">
        <w:t>60%</w:t>
      </w:r>
      <w:r w:rsidR="00C01CA3">
        <w:t xml:space="preserve"> del principal</w:t>
      </w:r>
      <w:r w:rsidR="00344E36">
        <w:t>.</w:t>
      </w:r>
      <w:r w:rsidR="00803EE2">
        <w:t xml:space="preserve"> Además, el </w:t>
      </w:r>
      <w:r w:rsidR="00803EE2">
        <w:lastRenderedPageBreak/>
        <w:t xml:space="preserve">sistema incluye el monitoreo </w:t>
      </w:r>
      <w:r w:rsidR="000D47F4">
        <w:t xml:space="preserve">constante por parte de las instancias correspondientes tanto en aspectos de </w:t>
      </w:r>
      <w:r w:rsidR="00DE58BE">
        <w:t xml:space="preserve">atención de la plantación </w:t>
      </w:r>
      <w:r w:rsidR="000D47F4">
        <w:t>como en lo referente a</w:t>
      </w:r>
      <w:r w:rsidR="007E6E8F">
        <w:t xml:space="preserve">l uso del crédito por parte de </w:t>
      </w:r>
      <w:r w:rsidR="00E754BA">
        <w:t>FONAFIFO</w:t>
      </w:r>
      <w:r w:rsidR="00DE58BE">
        <w:t xml:space="preserve">, así como del acompañamiento por parte de un profesional </w:t>
      </w:r>
      <w:r w:rsidR="00CE336B">
        <w:t>forestal.</w:t>
      </w:r>
    </w:p>
    <w:p w14:paraId="38EBCA2E" w14:textId="35665A26" w:rsidR="00B770A5" w:rsidRDefault="00B770A5">
      <w:r>
        <w:t xml:space="preserve">La meta de productividad de SIPMABE Crédito </w:t>
      </w:r>
      <w:r w:rsidRPr="00D07E17">
        <w:t xml:space="preserve">es de </w:t>
      </w:r>
      <w:r w:rsidR="005466AB" w:rsidRPr="00D07E17">
        <w:t>90 a 120 m</w:t>
      </w:r>
      <w:r w:rsidR="005466AB" w:rsidRPr="00D07E17">
        <w:rPr>
          <w:vertAlign w:val="superscript"/>
        </w:rPr>
        <w:t>3</w:t>
      </w:r>
      <w:r w:rsidR="005466AB">
        <w:t xml:space="preserve"> </w:t>
      </w:r>
      <w:r w:rsidR="00E428C9">
        <w:t>de madera</w:t>
      </w:r>
      <w:r w:rsidR="00FE70AD">
        <w:t xml:space="preserve"> en rollo</w:t>
      </w:r>
      <w:r w:rsidR="00E428C9">
        <w:t xml:space="preserve"> </w:t>
      </w:r>
      <w:r w:rsidR="005466AB">
        <w:t>por hectárea</w:t>
      </w:r>
      <w:r w:rsidR="0042561C">
        <w:t>, siendo la expectativa</w:t>
      </w:r>
      <w:r w:rsidR="00D87310">
        <w:t>,</w:t>
      </w:r>
      <w:r w:rsidR="0042561C">
        <w:t xml:space="preserve"> que el productor comercialice </w:t>
      </w:r>
      <w:r w:rsidR="005B73F7">
        <w:t>diámetros pequeños para embalaje y que l</w:t>
      </w:r>
      <w:r w:rsidR="009962FC">
        <w:t xml:space="preserve">a madera más gruesa </w:t>
      </w:r>
      <w:r w:rsidR="005B73F7">
        <w:t>se destine a</w:t>
      </w:r>
      <w:r w:rsidR="001F1FC6">
        <w:t xml:space="preserve"> mercados de mayor valor agregado.</w:t>
      </w:r>
    </w:p>
    <w:p w14:paraId="2C9FA81C" w14:textId="77777777" w:rsidR="00591689" w:rsidRDefault="00591689">
      <w:pPr>
        <w:rPr>
          <w:b/>
          <w:bCs/>
        </w:rPr>
      </w:pPr>
    </w:p>
    <w:p w14:paraId="6DBAE03A" w14:textId="714F7D49" w:rsidR="00F04B8C" w:rsidRPr="00673C92" w:rsidRDefault="00673C92">
      <w:pPr>
        <w:rPr>
          <w:b/>
          <w:bCs/>
        </w:rPr>
      </w:pPr>
      <w:r w:rsidRPr="00673C92">
        <w:rPr>
          <w:b/>
          <w:bCs/>
        </w:rPr>
        <w:t>Promoción</w:t>
      </w:r>
    </w:p>
    <w:p w14:paraId="2AC05BCC" w14:textId="1230FBC6" w:rsidR="00175D23" w:rsidRDefault="00520869" w:rsidP="000F72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78ACE" wp14:editId="4362BB9F">
                <wp:simplePos x="0" y="0"/>
                <wp:positionH relativeFrom="column">
                  <wp:posOffset>2458720</wp:posOffset>
                </wp:positionH>
                <wp:positionV relativeFrom="paragraph">
                  <wp:posOffset>3769360</wp:posOffset>
                </wp:positionV>
                <wp:extent cx="2996565" cy="635"/>
                <wp:effectExtent l="0" t="0" r="0" b="0"/>
                <wp:wrapSquare wrapText="bothSides"/>
                <wp:docPr id="1590048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3C2842" w14:textId="2EDC015D" w:rsidR="00520869" w:rsidRPr="00DA7112" w:rsidRDefault="00520869" w:rsidP="00520869">
                            <w:pPr>
                              <w:pStyle w:val="Descripcin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 w:rsidRPr="00520869">
                              <w:rPr>
                                <w:i w:val="0"/>
                                <w:iCs w:val="0"/>
                              </w:rPr>
                              <w:t xml:space="preserve">Foto </w:t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fldChar w:fldCharType="begin"/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instrText xml:space="preserve"> SEQ Foto \* ARABIC </w:instrText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fldChar w:fldCharType="separate"/>
                            </w:r>
                            <w:r w:rsidR="00B01547">
                              <w:rPr>
                                <w:i w:val="0"/>
                                <w:iCs w:val="0"/>
                                <w:noProof/>
                              </w:rPr>
                              <w:t>1</w:t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fldChar w:fldCharType="end"/>
                            </w:r>
                            <w:r w:rsidRPr="00520869">
                              <w:rPr>
                                <w:i w:val="0"/>
                                <w:iCs w:val="0"/>
                              </w:rPr>
                              <w:t>. Día de campo de promoción de SIPMABE Crédito en Limón.</w:t>
                            </w:r>
                            <w:r>
                              <w:t xml:space="preserve"> </w:t>
                            </w:r>
                            <w:r>
                              <w:t>©</w:t>
                            </w:r>
                            <w:r>
                              <w:t>Maribel Jiménez Montero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378AC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93.6pt;margin-top:296.8pt;width:235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" stroked="f">
                <v:textbox style="mso-fit-shape-to-text:t" inset="0,0,0,0">
                  <w:txbxContent>
                    <w:p w14:paraId="7A3C2842" w14:textId="2EDC015D" w:rsidR="00520869" w:rsidRPr="00DA7112" w:rsidRDefault="00520869" w:rsidP="00520869">
                      <w:pPr>
                        <w:pStyle w:val="Descripcin"/>
                        <w:rPr>
                          <w:noProof/>
                          <w:sz w:val="22"/>
                          <w:szCs w:val="22"/>
                        </w:rPr>
                      </w:pPr>
                      <w:r w:rsidRPr="00520869">
                        <w:rPr>
                          <w:i w:val="0"/>
                          <w:iCs w:val="0"/>
                        </w:rPr>
                        <w:t xml:space="preserve">Foto </w:t>
                      </w:r>
                      <w:r w:rsidRPr="00520869">
                        <w:rPr>
                          <w:i w:val="0"/>
                          <w:iCs w:val="0"/>
                        </w:rPr>
                        <w:fldChar w:fldCharType="begin"/>
                      </w:r>
                      <w:r w:rsidRPr="00520869">
                        <w:rPr>
                          <w:i w:val="0"/>
                          <w:iCs w:val="0"/>
                        </w:rPr>
                        <w:instrText xml:space="preserve"> SEQ Foto \* ARABIC </w:instrText>
                      </w:r>
                      <w:r w:rsidRPr="00520869">
                        <w:rPr>
                          <w:i w:val="0"/>
                          <w:iCs w:val="0"/>
                        </w:rPr>
                        <w:fldChar w:fldCharType="separate"/>
                      </w:r>
                      <w:r w:rsidR="00B01547">
                        <w:rPr>
                          <w:i w:val="0"/>
                          <w:iCs w:val="0"/>
                          <w:noProof/>
                        </w:rPr>
                        <w:t>1</w:t>
                      </w:r>
                      <w:r w:rsidRPr="00520869">
                        <w:rPr>
                          <w:i w:val="0"/>
                          <w:iCs w:val="0"/>
                        </w:rPr>
                        <w:fldChar w:fldCharType="end"/>
                      </w:r>
                      <w:r w:rsidRPr="00520869">
                        <w:rPr>
                          <w:i w:val="0"/>
                          <w:iCs w:val="0"/>
                        </w:rPr>
                        <w:t>. Día de campo de promoción de SIPMABE Crédito en Limón.</w:t>
                      </w:r>
                      <w:r>
                        <w:t xml:space="preserve"> </w:t>
                      </w:r>
                      <w:r>
                        <w:t>©</w:t>
                      </w:r>
                      <w:r>
                        <w:t>Maribel Jiménez Montero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C53">
        <w:rPr>
          <w:noProof/>
        </w:rPr>
        <w:drawing>
          <wp:anchor distT="0" distB="0" distL="114300" distR="114300" simplePos="0" relativeHeight="251658240" behindDoc="0" locked="0" layoutInCell="1" allowOverlap="1" wp14:anchorId="3EC72332" wp14:editId="4A0F0DEE">
            <wp:simplePos x="0" y="0"/>
            <wp:positionH relativeFrom="column">
              <wp:posOffset>1959610</wp:posOffset>
            </wp:positionH>
            <wp:positionV relativeFrom="paragraph">
              <wp:posOffset>216535</wp:posOffset>
            </wp:positionV>
            <wp:extent cx="3994785" cy="2996565"/>
            <wp:effectExtent l="3810" t="0" r="9525" b="9525"/>
            <wp:wrapSquare wrapText="bothSides"/>
            <wp:docPr id="16435574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94785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94">
        <w:t xml:space="preserve">Como parte de las actividades del proyecto financiado por la </w:t>
      </w:r>
      <w:r w:rsidR="00DA41EE">
        <w:t>OI</w:t>
      </w:r>
      <w:r w:rsidR="00782F45">
        <w:t>M</w:t>
      </w:r>
      <w:r w:rsidR="00DA41EE">
        <w:t>T</w:t>
      </w:r>
      <w:r w:rsidR="00AD4994">
        <w:t xml:space="preserve">, se realizaron dos días de campo </w:t>
      </w:r>
      <w:r w:rsidR="00240405">
        <w:t xml:space="preserve">dirigidos a productores, organizaciones y profesionales del sector forestal </w:t>
      </w:r>
      <w:r w:rsidR="00AD4994">
        <w:t>denominados “</w:t>
      </w:r>
      <w:r w:rsidR="00175D23">
        <w:t>Cadena de valor de plantaciones comerciales en Costa Rica</w:t>
      </w:r>
      <w:r w:rsidR="00AD4994">
        <w:t xml:space="preserve">”. </w:t>
      </w:r>
      <w:r w:rsidR="001F02DB">
        <w:t xml:space="preserve">Uno se realizó en la </w:t>
      </w:r>
      <w:r w:rsidR="00FE39C3">
        <w:t>Zona N</w:t>
      </w:r>
      <w:r w:rsidR="001F02DB">
        <w:t xml:space="preserve">orte y otro en el </w:t>
      </w:r>
      <w:r w:rsidR="00FE39C3">
        <w:t xml:space="preserve">Caribe Sur </w:t>
      </w:r>
      <w:r w:rsidR="001F02DB">
        <w:t xml:space="preserve">del país. </w:t>
      </w:r>
      <w:r w:rsidR="00AD4994">
        <w:t xml:space="preserve">El objetivo de esta actividad fue </w:t>
      </w:r>
      <w:r w:rsidR="000F72B1">
        <w:t xml:space="preserve">promover el establecimiento de plantaciones forestales con fines productivos enfocado en la cadena valor, </w:t>
      </w:r>
      <w:r w:rsidR="00FE39C3">
        <w:t xml:space="preserve">para esta promoción se realizaron días de campo en </w:t>
      </w:r>
      <w:r w:rsidR="00D91C55">
        <w:t xml:space="preserve">una empresa dedicada a la producción y procesamiento </w:t>
      </w:r>
      <w:r w:rsidR="001F02DB">
        <w:t xml:space="preserve">de madera de melina </w:t>
      </w:r>
      <w:r w:rsidR="00FE39C3">
        <w:t xml:space="preserve">donde </w:t>
      </w:r>
      <w:r w:rsidR="00F435E8">
        <w:t>se establecieron</w:t>
      </w:r>
      <w:r w:rsidR="000F72B1">
        <w:t xml:space="preserve"> estaciones en las que se </w:t>
      </w:r>
      <w:r w:rsidR="00F435E8">
        <w:t xml:space="preserve">hizo una demostración de los </w:t>
      </w:r>
      <w:r w:rsidR="000F72B1">
        <w:t>aspectos más relevantes de cada eslabón de la cadena: establecimiento, manejo, aprovechamiento, industria y mercadeo.</w:t>
      </w:r>
      <w:r w:rsidR="00FB4851">
        <w:t xml:space="preserve"> </w:t>
      </w:r>
      <w:r w:rsidR="000F72B1">
        <w:t xml:space="preserve">Además, </w:t>
      </w:r>
      <w:r w:rsidR="00FB4851">
        <w:t>se incluyó</w:t>
      </w:r>
      <w:r w:rsidR="000F72B1">
        <w:t xml:space="preserve"> un espacio para </w:t>
      </w:r>
      <w:r w:rsidR="00FB4851">
        <w:t xml:space="preserve">dar a </w:t>
      </w:r>
      <w:r w:rsidR="000F72B1">
        <w:t xml:space="preserve">conocer </w:t>
      </w:r>
      <w:r w:rsidR="0091009A">
        <w:t>el SIPMABE</w:t>
      </w:r>
      <w:r w:rsidR="004476CC">
        <w:t xml:space="preserve"> en sus dos modalidades</w:t>
      </w:r>
      <w:r w:rsidR="0091009A">
        <w:t>.</w:t>
      </w:r>
    </w:p>
    <w:p w14:paraId="6BC9C7B0" w14:textId="79DBAD7C" w:rsidR="004778B1" w:rsidRDefault="003009C6" w:rsidP="000F72B1">
      <w:r>
        <w:t xml:space="preserve">El SIPMABE hizo su primera convocatoria </w:t>
      </w:r>
      <w:r w:rsidR="003264E3">
        <w:t>de recepción de solicitudes en el mes de setiembre</w:t>
      </w:r>
      <w:r w:rsidR="00106EBD">
        <w:t xml:space="preserve"> de 2025</w:t>
      </w:r>
      <w:r w:rsidR="003264E3">
        <w:t xml:space="preserve">, y </w:t>
      </w:r>
      <w:r w:rsidR="00F45C13">
        <w:t xml:space="preserve">se espera que gracias a la validación y promoción </w:t>
      </w:r>
      <w:r w:rsidR="0034157A">
        <w:t xml:space="preserve">cuente con la aceptación </w:t>
      </w:r>
      <w:r w:rsidR="003505BF">
        <w:t>de muchos pequeños y medianos reforestadores y así cumplir con su objetivo.</w:t>
      </w:r>
    </w:p>
    <w:p w14:paraId="75EB50A2" w14:textId="77777777" w:rsidR="00175D23" w:rsidRDefault="00175D23"/>
    <w:p w14:paraId="7C636EF4" w14:textId="53FEB128" w:rsidR="00175D23" w:rsidRPr="00FB3047" w:rsidRDefault="00751075">
      <w:pPr>
        <w:rPr>
          <w:b/>
          <w:bCs/>
        </w:rPr>
      </w:pPr>
      <w:r w:rsidRPr="00FB3047">
        <w:rPr>
          <w:b/>
          <w:bCs/>
        </w:rPr>
        <w:t>Referencias</w:t>
      </w:r>
    </w:p>
    <w:p w14:paraId="4719C5A6" w14:textId="11E44576" w:rsidR="00751075" w:rsidRDefault="00404296">
      <w:r>
        <w:t>Fondo Nacional de Financiamiento Forestal</w:t>
      </w:r>
      <w:r w:rsidR="00720E35">
        <w:t xml:space="preserve">. 2024. </w:t>
      </w:r>
      <w:r w:rsidR="00DE40C9">
        <w:t xml:space="preserve">Acuerdo </w:t>
      </w:r>
      <w:r w:rsidR="00015CA7">
        <w:t xml:space="preserve">No. 2 </w:t>
      </w:r>
      <w:r w:rsidR="00DE40C9">
        <w:t>de Junta Directiva</w:t>
      </w:r>
      <w:r w:rsidR="00015CA7">
        <w:t>, sesión extraordinaria 02-2024</w:t>
      </w:r>
      <w:r w:rsidR="00DE40C9">
        <w:t xml:space="preserve">: </w:t>
      </w:r>
      <w:r w:rsidR="00386289">
        <w:t>I</w:t>
      </w:r>
      <w:r w:rsidR="00386289" w:rsidRPr="00386289">
        <w:t>ncorpora</w:t>
      </w:r>
      <w:r w:rsidR="00386289">
        <w:t>ción de</w:t>
      </w:r>
      <w:r w:rsidR="00386289" w:rsidRPr="00386289">
        <w:t xml:space="preserve">l Sistema Productivo de Madera a Baja Escala </w:t>
      </w:r>
      <w:r w:rsidR="00386289" w:rsidRPr="00386289">
        <w:lastRenderedPageBreak/>
        <w:t>(SIPMABE) dentro de los procesos presupuestarios para la ejecución del PSA 2025</w:t>
      </w:r>
      <w:r w:rsidR="00A01D35">
        <w:t xml:space="preserve"> [En línea]. Recuperado de: </w:t>
      </w:r>
      <w:hyperlink r:id="rId10" w:history="1">
        <w:r w:rsidR="00786797" w:rsidRPr="0091148D">
          <w:rPr>
            <w:rStyle w:val="Hipervnculo"/>
          </w:rPr>
          <w:t>https://www.fonafifo.go.cr/media/4472/acta-ext-n-02-2024.pdf</w:t>
        </w:r>
      </w:hyperlink>
      <w:r w:rsidR="00A1206F">
        <w:t>.</w:t>
      </w:r>
    </w:p>
    <w:p w14:paraId="466E19B1" w14:textId="6DD835BE" w:rsidR="00786797" w:rsidRDefault="00786797">
      <w:r>
        <w:t>Murillo</w:t>
      </w:r>
      <w:r w:rsidR="002406B0">
        <w:t>, O.; Guevara, M.; B</w:t>
      </w:r>
      <w:r w:rsidR="00F42A6F">
        <w:t>a</w:t>
      </w:r>
      <w:r w:rsidR="002406B0">
        <w:t>dilla</w:t>
      </w:r>
      <w:r w:rsidR="00F42A6F">
        <w:t>, Y.; Esquivel, E. 202</w:t>
      </w:r>
      <w:r w:rsidR="00AE5AA8">
        <w:t>4</w:t>
      </w:r>
      <w:r w:rsidR="00F42A6F">
        <w:t xml:space="preserve">. Manual </w:t>
      </w:r>
      <w:r w:rsidR="00AB2FEE">
        <w:t>del cultivo de melina (G</w:t>
      </w:r>
      <w:r w:rsidR="00AB2FEE" w:rsidRPr="00AE5AA8">
        <w:rPr>
          <w:i/>
          <w:iCs/>
        </w:rPr>
        <w:t>melina arborea</w:t>
      </w:r>
      <w:r w:rsidR="00AB2FEE">
        <w:t xml:space="preserve">) en ciclo corto. </w:t>
      </w:r>
      <w:r w:rsidR="00AE5AA8">
        <w:t>Instituto Tecnológico de Costa Rica.</w:t>
      </w:r>
    </w:p>
    <w:p w14:paraId="6E9AA383" w14:textId="77777777" w:rsidR="00B70FB5" w:rsidRDefault="00B70FB5"/>
    <w:sectPr w:rsidR="00B70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2634" w14:textId="77777777" w:rsidR="00917DC0" w:rsidRDefault="00917DC0" w:rsidP="002628CD">
      <w:pPr>
        <w:spacing w:after="0" w:line="240" w:lineRule="auto"/>
      </w:pPr>
      <w:r>
        <w:separator/>
      </w:r>
    </w:p>
  </w:endnote>
  <w:endnote w:type="continuationSeparator" w:id="0">
    <w:p w14:paraId="1DFD0482" w14:textId="77777777" w:rsidR="00917DC0" w:rsidRDefault="00917DC0" w:rsidP="0026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C7C5" w14:textId="77777777" w:rsidR="00917DC0" w:rsidRDefault="00917DC0" w:rsidP="002628CD">
      <w:pPr>
        <w:spacing w:after="0" w:line="240" w:lineRule="auto"/>
      </w:pPr>
      <w:r>
        <w:separator/>
      </w:r>
    </w:p>
  </w:footnote>
  <w:footnote w:type="continuationSeparator" w:id="0">
    <w:p w14:paraId="5D6CE435" w14:textId="77777777" w:rsidR="00917DC0" w:rsidRDefault="00917DC0" w:rsidP="002628CD">
      <w:pPr>
        <w:spacing w:after="0" w:line="240" w:lineRule="auto"/>
      </w:pPr>
      <w:r>
        <w:continuationSeparator/>
      </w:r>
    </w:p>
  </w:footnote>
  <w:footnote w:id="1">
    <w:p w14:paraId="7AB1B582" w14:textId="470144E6" w:rsidR="00EB17C8" w:rsidRDefault="002628CD" w:rsidP="0052139D">
      <w:pPr>
        <w:pStyle w:val="Textonotapie"/>
      </w:pPr>
      <w:r>
        <w:rPr>
          <w:rStyle w:val="Refdenotaalpie"/>
        </w:rPr>
        <w:footnoteRef/>
      </w:r>
      <w:r>
        <w:t xml:space="preserve"> Ingeniera Agrónoma, Profesora, Escuela de Ingeniería Forestal, Instituto Tecnológico de Costa Rica</w:t>
      </w:r>
      <w:r w:rsidR="00EB17C8">
        <w:t xml:space="preserve">, </w:t>
      </w:r>
      <w:hyperlink r:id="rId1" w:history="1">
        <w:r w:rsidR="00EB17C8" w:rsidRPr="008D5C44">
          <w:rPr>
            <w:rStyle w:val="Hipervnculo"/>
          </w:rPr>
          <w:t>marjimenez@itcr.ac.cr</w:t>
        </w:r>
      </w:hyperlink>
      <w:r w:rsidR="0052139D">
        <w:t>.</w:t>
      </w:r>
    </w:p>
  </w:footnote>
  <w:footnote w:id="2">
    <w:p w14:paraId="7829A7CB" w14:textId="7B16347D" w:rsidR="008C0FC0" w:rsidRDefault="00626D3B" w:rsidP="0052139D">
      <w:pPr>
        <w:pStyle w:val="Textonotapie"/>
      </w:pPr>
      <w:r>
        <w:rPr>
          <w:rStyle w:val="Refdenotaalpie"/>
        </w:rPr>
        <w:footnoteRef/>
      </w:r>
      <w:r>
        <w:t xml:space="preserve"> Ingeniero Forestal, </w:t>
      </w:r>
      <w:r w:rsidR="00B10D3F">
        <w:t>Profesor</w:t>
      </w:r>
      <w:r w:rsidR="00996C07">
        <w:t xml:space="preserve">, Escuela de Ingeniería Forestal, Instituto Tecnológico de Costa Rica, </w:t>
      </w:r>
      <w:hyperlink r:id="rId2" w:history="1">
        <w:r w:rsidR="008C0FC0" w:rsidRPr="00161B7F">
          <w:rPr>
            <w:rStyle w:val="Hipervnculo"/>
          </w:rPr>
          <w:t>dicamacho@itcr.ac.cr</w:t>
        </w:r>
      </w:hyperlink>
      <w:r w:rsidR="00996C07">
        <w:t>.</w:t>
      </w:r>
    </w:p>
  </w:footnote>
  <w:footnote w:id="3">
    <w:p w14:paraId="017F2D81" w14:textId="51434919" w:rsidR="008C0FC0" w:rsidRDefault="003F2E5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451B9">
        <w:t>Ingenier</w:t>
      </w:r>
      <w:r w:rsidR="00996C07">
        <w:t>a</w:t>
      </w:r>
      <w:r w:rsidR="004451B9">
        <w:t xml:space="preserve"> Forestal,</w:t>
      </w:r>
      <w:r w:rsidR="00CF53F1">
        <w:t xml:space="preserve"> </w:t>
      </w:r>
      <w:r w:rsidR="00996C07">
        <w:t>Profeso</w:t>
      </w:r>
      <w:r w:rsidR="008C0FC0">
        <w:t>r</w:t>
      </w:r>
      <w:r w:rsidR="00996C07">
        <w:t>a</w:t>
      </w:r>
      <w:r w:rsidR="00CF53F1">
        <w:t>,</w:t>
      </w:r>
      <w:r w:rsidR="004451B9">
        <w:t xml:space="preserve"> </w:t>
      </w:r>
      <w:r w:rsidR="008C0FC0">
        <w:t>Escuela de Ingeniería Forestal</w:t>
      </w:r>
      <w:r w:rsidR="00BE2CED">
        <w:t xml:space="preserve">, </w:t>
      </w:r>
      <w:r w:rsidR="008C0FC0">
        <w:t>Instituto Tecnológico de Costa Rica</w:t>
      </w:r>
      <w:r w:rsidR="00BE2CED">
        <w:t xml:space="preserve">, </w:t>
      </w:r>
      <w:hyperlink r:id="rId3" w:history="1">
        <w:r w:rsidR="008C0FC0" w:rsidRPr="00161B7F">
          <w:rPr>
            <w:rStyle w:val="Hipervnculo"/>
          </w:rPr>
          <w:t>cysalas@itcr.ac.cr</w:t>
        </w:r>
      </w:hyperlink>
      <w:r w:rsidR="008C0FC0">
        <w:t>.</w:t>
      </w:r>
    </w:p>
  </w:footnote>
  <w:footnote w:id="4">
    <w:p w14:paraId="0F4181BF" w14:textId="1F4DE0F4" w:rsidR="00AB4555" w:rsidRDefault="00AB4555">
      <w:pPr>
        <w:pStyle w:val="Textonotapie"/>
      </w:pPr>
      <w:r>
        <w:rPr>
          <w:rStyle w:val="Refdenotaalpie"/>
        </w:rPr>
        <w:footnoteRef/>
      </w:r>
      <w:r>
        <w:t xml:space="preserve"> USD</w:t>
      </w:r>
      <w:r w:rsidR="0052391E">
        <w:t xml:space="preserve"> 1</w:t>
      </w:r>
      <w:r>
        <w:t xml:space="preserve"> </w:t>
      </w:r>
      <w:r w:rsidR="0052391E">
        <w:t>= CRC 505</w:t>
      </w:r>
    </w:p>
  </w:footnote>
  <w:footnote w:id="5">
    <w:p w14:paraId="13FC7EB8" w14:textId="77777777" w:rsidR="00262732" w:rsidRDefault="00262732" w:rsidP="0026273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E56AF7">
        <w:t>PD 849/17 Rev.2 (F): «Incremento de la competitividad de la reforestación comercial en Costa Rica»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6B78"/>
    <w:multiLevelType w:val="hybridMultilevel"/>
    <w:tmpl w:val="67B4C932"/>
    <w:lvl w:ilvl="0" w:tplc="1FD6D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00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8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27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22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F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6A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8A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48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420EBC"/>
    <w:multiLevelType w:val="hybridMultilevel"/>
    <w:tmpl w:val="0CA470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6B5E"/>
    <w:multiLevelType w:val="hybridMultilevel"/>
    <w:tmpl w:val="8E364232"/>
    <w:lvl w:ilvl="0" w:tplc="D660D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63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28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00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25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0E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A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09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4A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44458428">
    <w:abstractNumId w:val="2"/>
  </w:num>
  <w:num w:numId="2" w16cid:durableId="823088881">
    <w:abstractNumId w:val="1"/>
  </w:num>
  <w:num w:numId="3" w16cid:durableId="176548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3F"/>
    <w:rsid w:val="000044D3"/>
    <w:rsid w:val="00007EE0"/>
    <w:rsid w:val="00012276"/>
    <w:rsid w:val="00015BC3"/>
    <w:rsid w:val="00015CA7"/>
    <w:rsid w:val="00016C28"/>
    <w:rsid w:val="000243F6"/>
    <w:rsid w:val="000257ED"/>
    <w:rsid w:val="00026AAD"/>
    <w:rsid w:val="0003530D"/>
    <w:rsid w:val="0004036E"/>
    <w:rsid w:val="00045A8D"/>
    <w:rsid w:val="0004625D"/>
    <w:rsid w:val="00047F44"/>
    <w:rsid w:val="00052E0F"/>
    <w:rsid w:val="0005460B"/>
    <w:rsid w:val="00074199"/>
    <w:rsid w:val="000769A0"/>
    <w:rsid w:val="00086E5C"/>
    <w:rsid w:val="000A2B72"/>
    <w:rsid w:val="000A2C6E"/>
    <w:rsid w:val="000A51C8"/>
    <w:rsid w:val="000A7169"/>
    <w:rsid w:val="000C14EC"/>
    <w:rsid w:val="000C16A2"/>
    <w:rsid w:val="000D47F4"/>
    <w:rsid w:val="000E2903"/>
    <w:rsid w:val="000E44EC"/>
    <w:rsid w:val="000E685D"/>
    <w:rsid w:val="000F240C"/>
    <w:rsid w:val="000F72B1"/>
    <w:rsid w:val="00106EBD"/>
    <w:rsid w:val="001113D7"/>
    <w:rsid w:val="0011280F"/>
    <w:rsid w:val="00113C53"/>
    <w:rsid w:val="00150E76"/>
    <w:rsid w:val="0017245C"/>
    <w:rsid w:val="00175D23"/>
    <w:rsid w:val="001807E3"/>
    <w:rsid w:val="00180E9D"/>
    <w:rsid w:val="001A23AA"/>
    <w:rsid w:val="001A7C13"/>
    <w:rsid w:val="001B4A26"/>
    <w:rsid w:val="001C33A9"/>
    <w:rsid w:val="001C5934"/>
    <w:rsid w:val="001E5756"/>
    <w:rsid w:val="001F02DB"/>
    <w:rsid w:val="001F1FC6"/>
    <w:rsid w:val="00211E7D"/>
    <w:rsid w:val="002120F9"/>
    <w:rsid w:val="00215579"/>
    <w:rsid w:val="00240405"/>
    <w:rsid w:val="002406B0"/>
    <w:rsid w:val="00244DA5"/>
    <w:rsid w:val="00246D99"/>
    <w:rsid w:val="00256AEB"/>
    <w:rsid w:val="00262732"/>
    <w:rsid w:val="002628CD"/>
    <w:rsid w:val="002703CD"/>
    <w:rsid w:val="00282D9F"/>
    <w:rsid w:val="00290786"/>
    <w:rsid w:val="00290CF6"/>
    <w:rsid w:val="00294B7E"/>
    <w:rsid w:val="0029775C"/>
    <w:rsid w:val="002A1DE9"/>
    <w:rsid w:val="002B1156"/>
    <w:rsid w:val="002D3146"/>
    <w:rsid w:val="002E66B9"/>
    <w:rsid w:val="003009C6"/>
    <w:rsid w:val="0030164F"/>
    <w:rsid w:val="00303E1F"/>
    <w:rsid w:val="00304919"/>
    <w:rsid w:val="00305F24"/>
    <w:rsid w:val="003104B7"/>
    <w:rsid w:val="00312FC5"/>
    <w:rsid w:val="0031689B"/>
    <w:rsid w:val="00316EF8"/>
    <w:rsid w:val="0032441E"/>
    <w:rsid w:val="00325B46"/>
    <w:rsid w:val="003264E3"/>
    <w:rsid w:val="003319FE"/>
    <w:rsid w:val="003371BD"/>
    <w:rsid w:val="003414BE"/>
    <w:rsid w:val="0034157A"/>
    <w:rsid w:val="00344E36"/>
    <w:rsid w:val="0034717C"/>
    <w:rsid w:val="003505BF"/>
    <w:rsid w:val="00386289"/>
    <w:rsid w:val="00393964"/>
    <w:rsid w:val="00397790"/>
    <w:rsid w:val="00397E04"/>
    <w:rsid w:val="003A272D"/>
    <w:rsid w:val="003A7C9A"/>
    <w:rsid w:val="003A7E89"/>
    <w:rsid w:val="003B0207"/>
    <w:rsid w:val="003B12D9"/>
    <w:rsid w:val="003B6A3E"/>
    <w:rsid w:val="003B6BA6"/>
    <w:rsid w:val="003D052C"/>
    <w:rsid w:val="003D19E5"/>
    <w:rsid w:val="003D77E0"/>
    <w:rsid w:val="003E0562"/>
    <w:rsid w:val="003E1DFB"/>
    <w:rsid w:val="003F2E53"/>
    <w:rsid w:val="003F3B11"/>
    <w:rsid w:val="0040087C"/>
    <w:rsid w:val="004027A0"/>
    <w:rsid w:val="00404296"/>
    <w:rsid w:val="0042561C"/>
    <w:rsid w:val="00425635"/>
    <w:rsid w:val="00440600"/>
    <w:rsid w:val="004451B9"/>
    <w:rsid w:val="00446831"/>
    <w:rsid w:val="004476CC"/>
    <w:rsid w:val="004551BB"/>
    <w:rsid w:val="0045753A"/>
    <w:rsid w:val="00462401"/>
    <w:rsid w:val="00463EC4"/>
    <w:rsid w:val="0046408E"/>
    <w:rsid w:val="00465AAE"/>
    <w:rsid w:val="00471E4A"/>
    <w:rsid w:val="004725B2"/>
    <w:rsid w:val="00473E22"/>
    <w:rsid w:val="004778B1"/>
    <w:rsid w:val="00482B75"/>
    <w:rsid w:val="00483B10"/>
    <w:rsid w:val="00487249"/>
    <w:rsid w:val="004A098E"/>
    <w:rsid w:val="004A1938"/>
    <w:rsid w:val="004A3BA4"/>
    <w:rsid w:val="004C128B"/>
    <w:rsid w:val="004C15CF"/>
    <w:rsid w:val="004D3C93"/>
    <w:rsid w:val="004E2299"/>
    <w:rsid w:val="00520869"/>
    <w:rsid w:val="0052139D"/>
    <w:rsid w:val="0052391E"/>
    <w:rsid w:val="0052407A"/>
    <w:rsid w:val="00536AE5"/>
    <w:rsid w:val="00536E49"/>
    <w:rsid w:val="00544D07"/>
    <w:rsid w:val="005466AB"/>
    <w:rsid w:val="00553ED4"/>
    <w:rsid w:val="00566AD6"/>
    <w:rsid w:val="005714F4"/>
    <w:rsid w:val="00575538"/>
    <w:rsid w:val="005865AC"/>
    <w:rsid w:val="00591689"/>
    <w:rsid w:val="00593818"/>
    <w:rsid w:val="005A74CE"/>
    <w:rsid w:val="005B73F7"/>
    <w:rsid w:val="005D5C15"/>
    <w:rsid w:val="005D693B"/>
    <w:rsid w:val="005E5B9F"/>
    <w:rsid w:val="005F1968"/>
    <w:rsid w:val="00601B07"/>
    <w:rsid w:val="006129DF"/>
    <w:rsid w:val="0061348A"/>
    <w:rsid w:val="00613AD9"/>
    <w:rsid w:val="00615271"/>
    <w:rsid w:val="00620869"/>
    <w:rsid w:val="006243A6"/>
    <w:rsid w:val="00626D3B"/>
    <w:rsid w:val="00633BC7"/>
    <w:rsid w:val="00635098"/>
    <w:rsid w:val="006457F6"/>
    <w:rsid w:val="0065112F"/>
    <w:rsid w:val="00656ED8"/>
    <w:rsid w:val="0066626F"/>
    <w:rsid w:val="006715AA"/>
    <w:rsid w:val="00673C92"/>
    <w:rsid w:val="00673E96"/>
    <w:rsid w:val="006762D6"/>
    <w:rsid w:val="00693803"/>
    <w:rsid w:val="006949CC"/>
    <w:rsid w:val="006A0810"/>
    <w:rsid w:val="006B16B1"/>
    <w:rsid w:val="006B5C02"/>
    <w:rsid w:val="006B6283"/>
    <w:rsid w:val="006C34DF"/>
    <w:rsid w:val="006C3F91"/>
    <w:rsid w:val="006E46DF"/>
    <w:rsid w:val="006F2E1D"/>
    <w:rsid w:val="006F7A57"/>
    <w:rsid w:val="00701098"/>
    <w:rsid w:val="0070283C"/>
    <w:rsid w:val="0070299B"/>
    <w:rsid w:val="00714D95"/>
    <w:rsid w:val="00720E35"/>
    <w:rsid w:val="0072117E"/>
    <w:rsid w:val="007326D3"/>
    <w:rsid w:val="007349F9"/>
    <w:rsid w:val="00735C5A"/>
    <w:rsid w:val="00737316"/>
    <w:rsid w:val="00747106"/>
    <w:rsid w:val="00751075"/>
    <w:rsid w:val="0075590A"/>
    <w:rsid w:val="00756F20"/>
    <w:rsid w:val="00764A65"/>
    <w:rsid w:val="007742E1"/>
    <w:rsid w:val="00781F83"/>
    <w:rsid w:val="00782F45"/>
    <w:rsid w:val="00786797"/>
    <w:rsid w:val="007932BB"/>
    <w:rsid w:val="00793CC3"/>
    <w:rsid w:val="007962C8"/>
    <w:rsid w:val="00796B91"/>
    <w:rsid w:val="007A551F"/>
    <w:rsid w:val="007C0291"/>
    <w:rsid w:val="007C3ADC"/>
    <w:rsid w:val="007D1375"/>
    <w:rsid w:val="007D6625"/>
    <w:rsid w:val="007D6C1F"/>
    <w:rsid w:val="007E6E8F"/>
    <w:rsid w:val="00803EE2"/>
    <w:rsid w:val="008151E7"/>
    <w:rsid w:val="00823AFF"/>
    <w:rsid w:val="00825834"/>
    <w:rsid w:val="008300CA"/>
    <w:rsid w:val="00840326"/>
    <w:rsid w:val="008573A5"/>
    <w:rsid w:val="00882CA7"/>
    <w:rsid w:val="00896A4C"/>
    <w:rsid w:val="008A51F6"/>
    <w:rsid w:val="008C0FC0"/>
    <w:rsid w:val="008D0DF2"/>
    <w:rsid w:val="008D1E28"/>
    <w:rsid w:val="008E304C"/>
    <w:rsid w:val="008E45B5"/>
    <w:rsid w:val="008E49CB"/>
    <w:rsid w:val="008E4E90"/>
    <w:rsid w:val="008E7B3A"/>
    <w:rsid w:val="008F7F5C"/>
    <w:rsid w:val="00906AE8"/>
    <w:rsid w:val="0091009A"/>
    <w:rsid w:val="009117B6"/>
    <w:rsid w:val="00917DC0"/>
    <w:rsid w:val="009257E5"/>
    <w:rsid w:val="00932B17"/>
    <w:rsid w:val="00936A93"/>
    <w:rsid w:val="009446AA"/>
    <w:rsid w:val="00957B5B"/>
    <w:rsid w:val="009611DA"/>
    <w:rsid w:val="00966177"/>
    <w:rsid w:val="0098005A"/>
    <w:rsid w:val="009962FC"/>
    <w:rsid w:val="00996C07"/>
    <w:rsid w:val="009B0AA7"/>
    <w:rsid w:val="009C3C3C"/>
    <w:rsid w:val="009E30C4"/>
    <w:rsid w:val="009F3912"/>
    <w:rsid w:val="009F60C3"/>
    <w:rsid w:val="009F6F5E"/>
    <w:rsid w:val="00A01BED"/>
    <w:rsid w:val="00A01D35"/>
    <w:rsid w:val="00A058AB"/>
    <w:rsid w:val="00A05AC5"/>
    <w:rsid w:val="00A103ED"/>
    <w:rsid w:val="00A1206F"/>
    <w:rsid w:val="00A136A8"/>
    <w:rsid w:val="00A17BC3"/>
    <w:rsid w:val="00A20A98"/>
    <w:rsid w:val="00A20D2F"/>
    <w:rsid w:val="00A21C34"/>
    <w:rsid w:val="00A36091"/>
    <w:rsid w:val="00A40BCB"/>
    <w:rsid w:val="00A5123E"/>
    <w:rsid w:val="00A75818"/>
    <w:rsid w:val="00A7678C"/>
    <w:rsid w:val="00A85066"/>
    <w:rsid w:val="00A90C22"/>
    <w:rsid w:val="00AA1963"/>
    <w:rsid w:val="00AA3F19"/>
    <w:rsid w:val="00AB2FCE"/>
    <w:rsid w:val="00AB2FEE"/>
    <w:rsid w:val="00AB4555"/>
    <w:rsid w:val="00AC0973"/>
    <w:rsid w:val="00AC1E58"/>
    <w:rsid w:val="00AC7AED"/>
    <w:rsid w:val="00AD4994"/>
    <w:rsid w:val="00AD5559"/>
    <w:rsid w:val="00AE5AA8"/>
    <w:rsid w:val="00AF4ABA"/>
    <w:rsid w:val="00B01329"/>
    <w:rsid w:val="00B01547"/>
    <w:rsid w:val="00B10D3F"/>
    <w:rsid w:val="00B12913"/>
    <w:rsid w:val="00B20D9D"/>
    <w:rsid w:val="00B22406"/>
    <w:rsid w:val="00B27CB1"/>
    <w:rsid w:val="00B314FC"/>
    <w:rsid w:val="00B40588"/>
    <w:rsid w:val="00B41233"/>
    <w:rsid w:val="00B42681"/>
    <w:rsid w:val="00B455D3"/>
    <w:rsid w:val="00B51378"/>
    <w:rsid w:val="00B563D4"/>
    <w:rsid w:val="00B61B3C"/>
    <w:rsid w:val="00B70FB5"/>
    <w:rsid w:val="00B718FC"/>
    <w:rsid w:val="00B770A5"/>
    <w:rsid w:val="00B876CD"/>
    <w:rsid w:val="00B93625"/>
    <w:rsid w:val="00BA37AF"/>
    <w:rsid w:val="00BA61D9"/>
    <w:rsid w:val="00BC13BC"/>
    <w:rsid w:val="00BC2562"/>
    <w:rsid w:val="00BC6CD4"/>
    <w:rsid w:val="00BD381D"/>
    <w:rsid w:val="00BE244F"/>
    <w:rsid w:val="00BE2CED"/>
    <w:rsid w:val="00BE6DB0"/>
    <w:rsid w:val="00BE7B10"/>
    <w:rsid w:val="00BF1DCA"/>
    <w:rsid w:val="00BF56B0"/>
    <w:rsid w:val="00BF75C2"/>
    <w:rsid w:val="00C01CA3"/>
    <w:rsid w:val="00C06E44"/>
    <w:rsid w:val="00C16BEF"/>
    <w:rsid w:val="00C41EF1"/>
    <w:rsid w:val="00C50E3F"/>
    <w:rsid w:val="00C579E4"/>
    <w:rsid w:val="00C63F47"/>
    <w:rsid w:val="00C80142"/>
    <w:rsid w:val="00C92ACC"/>
    <w:rsid w:val="00CA0A7B"/>
    <w:rsid w:val="00CA3333"/>
    <w:rsid w:val="00CB284B"/>
    <w:rsid w:val="00CB7B33"/>
    <w:rsid w:val="00CE336B"/>
    <w:rsid w:val="00CF0AC4"/>
    <w:rsid w:val="00CF53F1"/>
    <w:rsid w:val="00D02697"/>
    <w:rsid w:val="00D04426"/>
    <w:rsid w:val="00D07E17"/>
    <w:rsid w:val="00D1196E"/>
    <w:rsid w:val="00D22B92"/>
    <w:rsid w:val="00D24A96"/>
    <w:rsid w:val="00D26104"/>
    <w:rsid w:val="00D30180"/>
    <w:rsid w:val="00D310D4"/>
    <w:rsid w:val="00D31B65"/>
    <w:rsid w:val="00D4665B"/>
    <w:rsid w:val="00D46FD5"/>
    <w:rsid w:val="00D47BF2"/>
    <w:rsid w:val="00D51B2A"/>
    <w:rsid w:val="00D62852"/>
    <w:rsid w:val="00D76CA9"/>
    <w:rsid w:val="00D87310"/>
    <w:rsid w:val="00D91C55"/>
    <w:rsid w:val="00D96EE4"/>
    <w:rsid w:val="00DA41EE"/>
    <w:rsid w:val="00DA6D03"/>
    <w:rsid w:val="00DA6F78"/>
    <w:rsid w:val="00DA777F"/>
    <w:rsid w:val="00DB6563"/>
    <w:rsid w:val="00DC5A12"/>
    <w:rsid w:val="00DC6AEE"/>
    <w:rsid w:val="00DD6DE9"/>
    <w:rsid w:val="00DE1E38"/>
    <w:rsid w:val="00DE40C9"/>
    <w:rsid w:val="00DE58BE"/>
    <w:rsid w:val="00DF60C2"/>
    <w:rsid w:val="00E03B6C"/>
    <w:rsid w:val="00E05BEE"/>
    <w:rsid w:val="00E24CAF"/>
    <w:rsid w:val="00E428C9"/>
    <w:rsid w:val="00E52B10"/>
    <w:rsid w:val="00E56AF7"/>
    <w:rsid w:val="00E66253"/>
    <w:rsid w:val="00E70C30"/>
    <w:rsid w:val="00E754BA"/>
    <w:rsid w:val="00E903B9"/>
    <w:rsid w:val="00E910F3"/>
    <w:rsid w:val="00E9633C"/>
    <w:rsid w:val="00EA0837"/>
    <w:rsid w:val="00EA3F2B"/>
    <w:rsid w:val="00EB17C8"/>
    <w:rsid w:val="00EB7E79"/>
    <w:rsid w:val="00EC12D3"/>
    <w:rsid w:val="00EC6E10"/>
    <w:rsid w:val="00EC7D50"/>
    <w:rsid w:val="00ED0CEC"/>
    <w:rsid w:val="00ED115B"/>
    <w:rsid w:val="00EE0BA8"/>
    <w:rsid w:val="00EE3203"/>
    <w:rsid w:val="00EE327B"/>
    <w:rsid w:val="00EE61D7"/>
    <w:rsid w:val="00EF0704"/>
    <w:rsid w:val="00F04B8C"/>
    <w:rsid w:val="00F0742D"/>
    <w:rsid w:val="00F10F97"/>
    <w:rsid w:val="00F1223D"/>
    <w:rsid w:val="00F271FC"/>
    <w:rsid w:val="00F4110E"/>
    <w:rsid w:val="00F42A6F"/>
    <w:rsid w:val="00F435E8"/>
    <w:rsid w:val="00F447A4"/>
    <w:rsid w:val="00F45C13"/>
    <w:rsid w:val="00F464C1"/>
    <w:rsid w:val="00F74A08"/>
    <w:rsid w:val="00F74E37"/>
    <w:rsid w:val="00F80BD6"/>
    <w:rsid w:val="00F81D12"/>
    <w:rsid w:val="00F823A6"/>
    <w:rsid w:val="00F94003"/>
    <w:rsid w:val="00FB3047"/>
    <w:rsid w:val="00FB4851"/>
    <w:rsid w:val="00FC633F"/>
    <w:rsid w:val="00FC7493"/>
    <w:rsid w:val="00FD0172"/>
    <w:rsid w:val="00FD65D2"/>
    <w:rsid w:val="00FE3157"/>
    <w:rsid w:val="00FE39C3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628D"/>
  <w15:chartTrackingRefBased/>
  <w15:docId w15:val="{8A63B9CD-8CB9-4FB4-BC42-E825B866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0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0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0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0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0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0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0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0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0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0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0E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0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0E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0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0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0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0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0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0E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0E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0E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0E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0E3F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628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28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628C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B17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17C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1">
    <w:name w:val="List Table 5 Dark Accent 1"/>
    <w:basedOn w:val="Tablanormal"/>
    <w:uiPriority w:val="50"/>
    <w:rsid w:val="003244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32441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1">
    <w:name w:val="Grid Table 4 Accent 1"/>
    <w:basedOn w:val="Tablanormal"/>
    <w:uiPriority w:val="49"/>
    <w:rsid w:val="00882CA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62086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B3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paragraph" w:styleId="Revisin">
    <w:name w:val="Revision"/>
    <w:hidden/>
    <w:uiPriority w:val="99"/>
    <w:semiHidden/>
    <w:rsid w:val="0039396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939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39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3964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962C8"/>
    <w:rPr>
      <w:color w:val="96607D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52086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8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onafifo.go.cr/media/4472/acta-ext-n-02-202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ysalas@itcr.ac.cr" TargetMode="External"/><Relationship Id="rId2" Type="http://schemas.openxmlformats.org/officeDocument/2006/relationships/hyperlink" Target="mailto:dicamacho@itcr.ac.cr" TargetMode="External"/><Relationship Id="rId1" Type="http://schemas.openxmlformats.org/officeDocument/2006/relationships/hyperlink" Target="mailto:marjimenez@itcr.ac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D1BF7E-59E3-45A1-A5A6-7B2BDAA32A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19bb90-88ba-4894-b7f1-de26e129d977}" enabled="0" method="" siteId="{1119bb90-88ba-4894-b7f1-de26e129d9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2090</Words>
  <Characters>11497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Jiménez Montero</dc:creator>
  <cp:keywords/>
  <dc:description/>
  <cp:lastModifiedBy>Maribel Jiménez Montero</cp:lastModifiedBy>
  <cp:revision>18</cp:revision>
  <cp:lastPrinted>2025-10-14T21:44:00Z</cp:lastPrinted>
  <dcterms:created xsi:type="dcterms:W3CDTF">2025-10-10T22:41:00Z</dcterms:created>
  <dcterms:modified xsi:type="dcterms:W3CDTF">2025-10-14T21:44:00Z</dcterms:modified>
</cp:coreProperties>
</file>